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0D642" w14:textId="77777777" w:rsidR="0044482E" w:rsidRPr="00156D56" w:rsidRDefault="0044482E" w:rsidP="00F16045">
      <w:pPr>
        <w:shd w:val="clear" w:color="auto" w:fill="FFFFFF"/>
        <w:rPr>
          <w:rFonts w:ascii="Arial" w:hAnsi="Arial" w:cs="Arial"/>
          <w:sz w:val="22"/>
          <w:szCs w:val="22"/>
        </w:rPr>
      </w:pPr>
    </w:p>
    <w:p w14:paraId="320B8945" w14:textId="77777777" w:rsidR="002F5C5A" w:rsidRPr="00156D56" w:rsidRDefault="002F5C5A" w:rsidP="00A83928">
      <w:pPr>
        <w:shd w:val="clear" w:color="auto" w:fill="FFFFFF"/>
        <w:rPr>
          <w:rFonts w:ascii="Arial" w:hAnsi="Arial" w:cs="Arial"/>
          <w:sz w:val="22"/>
          <w:szCs w:val="22"/>
        </w:rPr>
      </w:pPr>
    </w:p>
    <w:p w14:paraId="3BF73FC3" w14:textId="3299D66E" w:rsidR="00A83928" w:rsidRPr="003755DC" w:rsidRDefault="002F5C5A" w:rsidP="003755DC">
      <w:pPr>
        <w:jc w:val="center"/>
        <w:rPr>
          <w:rFonts w:ascii="Arial" w:hAnsi="Arial" w:cs="Arial"/>
          <w:b/>
          <w:bCs/>
          <w:sz w:val="22"/>
          <w:szCs w:val="22"/>
          <w:u w:val="single"/>
        </w:rPr>
      </w:pPr>
      <w:r w:rsidRPr="003755DC">
        <w:rPr>
          <w:rFonts w:ascii="Arial" w:hAnsi="Arial" w:cs="Arial"/>
          <w:b/>
          <w:bCs/>
          <w:sz w:val="22"/>
          <w:szCs w:val="22"/>
          <w:u w:val="single"/>
        </w:rPr>
        <w:t>TERMINOS DE REFERENCIA O ESPECIFICACIONES TECNICAS</w:t>
      </w:r>
    </w:p>
    <w:p w14:paraId="595A9189" w14:textId="77777777" w:rsidR="002F5C5A" w:rsidRPr="003755DC" w:rsidRDefault="002F5C5A" w:rsidP="003755DC">
      <w:pPr>
        <w:jc w:val="center"/>
        <w:rPr>
          <w:rFonts w:ascii="Arial" w:hAnsi="Arial" w:cs="Arial"/>
          <w:b/>
          <w:bCs/>
          <w:sz w:val="22"/>
          <w:szCs w:val="22"/>
          <w:u w:val="single"/>
        </w:rPr>
      </w:pPr>
    </w:p>
    <w:p w14:paraId="0884EC37" w14:textId="77777777" w:rsidR="002F5C5A" w:rsidRPr="003755DC" w:rsidRDefault="002F5C5A" w:rsidP="003755DC">
      <w:pPr>
        <w:spacing w:after="60"/>
        <w:jc w:val="center"/>
        <w:rPr>
          <w:rFonts w:ascii="Arial" w:hAnsi="Arial" w:cs="Arial"/>
          <w:b/>
          <w:bCs/>
          <w:sz w:val="22"/>
          <w:szCs w:val="22"/>
          <w:u w:val="single"/>
        </w:rPr>
      </w:pPr>
    </w:p>
    <w:p w14:paraId="6E66AB48" w14:textId="515A7C61" w:rsidR="002F5C5A" w:rsidRPr="00156D56" w:rsidRDefault="002F5C5A" w:rsidP="003755DC">
      <w:pPr>
        <w:pStyle w:val="Prrafodelista"/>
        <w:numPr>
          <w:ilvl w:val="0"/>
          <w:numId w:val="20"/>
        </w:numPr>
        <w:spacing w:after="60"/>
        <w:jc w:val="both"/>
        <w:rPr>
          <w:rFonts w:ascii="Arial" w:hAnsi="Arial" w:cs="Arial"/>
          <w:b/>
          <w:bCs/>
        </w:rPr>
      </w:pPr>
      <w:r w:rsidRPr="00156D56">
        <w:rPr>
          <w:rFonts w:ascii="Arial" w:hAnsi="Arial" w:cs="Arial"/>
          <w:b/>
          <w:bCs/>
        </w:rPr>
        <w:t>PRESENTACIÓN DE LAS OFERTAS</w:t>
      </w:r>
    </w:p>
    <w:p w14:paraId="73C5D6EC" w14:textId="77777777" w:rsidR="002F5C5A" w:rsidRPr="00156D56" w:rsidRDefault="002F5C5A" w:rsidP="002F5C5A">
      <w:pPr>
        <w:spacing w:after="60"/>
        <w:jc w:val="both"/>
        <w:rPr>
          <w:rFonts w:ascii="Arial" w:hAnsi="Arial" w:cs="Arial"/>
          <w:b/>
          <w:bCs/>
          <w:sz w:val="22"/>
          <w:szCs w:val="22"/>
        </w:rPr>
      </w:pPr>
    </w:p>
    <w:p w14:paraId="07D31FFD"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Solo se aceptarán ofertas de los medicamentos que cuenten con Registro Sanitario vigente otorgada por la Agencia Estatal de Medicamentos y Tecnología en Salud (AGEMED) del Ministerio de Salud. Las ofertas deberán indicar para cada producto el número y fecha de dicho registro.</w:t>
      </w:r>
    </w:p>
    <w:p w14:paraId="497ED0F3" w14:textId="77777777" w:rsidR="002F5C5A" w:rsidRPr="00156D56" w:rsidRDefault="002F5C5A" w:rsidP="002F5C5A">
      <w:pPr>
        <w:tabs>
          <w:tab w:val="num" w:pos="6480"/>
        </w:tabs>
        <w:spacing w:after="60"/>
        <w:ind w:left="900"/>
        <w:jc w:val="both"/>
        <w:rPr>
          <w:rFonts w:ascii="Arial" w:hAnsi="Arial" w:cs="Arial"/>
          <w:sz w:val="22"/>
          <w:szCs w:val="22"/>
        </w:rPr>
      </w:pPr>
    </w:p>
    <w:p w14:paraId="2122E248"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Para los casos en que el Registro Sanitario se halle en trámite de reinscripción se deberá acreditar tal situación o presentar copia de la solicitud de reinscripción presentada a la por la Agencia Estatal de Medicamentos y Tecnología en Salud (AGEMED) del Ministerio de Salud del Ministerio de Salud. No se tomarán en cuenta solicitudes de reinscripción presentadas fuera del plazo establecido.</w:t>
      </w:r>
    </w:p>
    <w:p w14:paraId="524F9C20" w14:textId="77777777" w:rsidR="002F5C5A" w:rsidRPr="00156D56" w:rsidRDefault="002F5C5A" w:rsidP="002F5C5A">
      <w:pPr>
        <w:spacing w:after="60"/>
        <w:ind w:left="360"/>
        <w:jc w:val="both"/>
        <w:rPr>
          <w:rFonts w:ascii="Arial" w:hAnsi="Arial" w:cs="Arial"/>
          <w:sz w:val="22"/>
          <w:szCs w:val="22"/>
        </w:rPr>
      </w:pPr>
    </w:p>
    <w:p w14:paraId="53256BC3"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Para todos los medicamentos adjudicados, los proveedores deberán adjuntar lo siguiente:</w:t>
      </w:r>
    </w:p>
    <w:p w14:paraId="5DA40682" w14:textId="77777777" w:rsidR="002F5C5A" w:rsidRPr="00156D56" w:rsidRDefault="002F5C5A" w:rsidP="002F5C5A">
      <w:pPr>
        <w:spacing w:after="60"/>
        <w:ind w:left="1440"/>
        <w:jc w:val="both"/>
        <w:rPr>
          <w:rFonts w:ascii="Arial" w:hAnsi="Arial" w:cs="Arial"/>
          <w:sz w:val="22"/>
          <w:szCs w:val="22"/>
        </w:rPr>
      </w:pPr>
    </w:p>
    <w:p w14:paraId="789A8DED" w14:textId="77777777" w:rsidR="002F5C5A" w:rsidRPr="00156D56" w:rsidRDefault="002F5C5A" w:rsidP="002F5C5A">
      <w:pPr>
        <w:numPr>
          <w:ilvl w:val="0"/>
          <w:numId w:val="3"/>
        </w:numPr>
        <w:spacing w:after="60"/>
        <w:ind w:left="1800"/>
        <w:jc w:val="both"/>
        <w:rPr>
          <w:rFonts w:ascii="Arial" w:hAnsi="Arial" w:cs="Arial"/>
          <w:sz w:val="22"/>
          <w:szCs w:val="22"/>
        </w:rPr>
      </w:pPr>
      <w:r w:rsidRPr="00156D56">
        <w:rPr>
          <w:rFonts w:ascii="Arial" w:hAnsi="Arial" w:cs="Arial"/>
          <w:sz w:val="22"/>
          <w:szCs w:val="22"/>
        </w:rPr>
        <w:t>Fotocopia de Certificado de Control de Calidad de cada lote de medicamento entregado a la CSBP.</w:t>
      </w:r>
    </w:p>
    <w:p w14:paraId="5C43C218" w14:textId="77777777" w:rsidR="002F5C5A" w:rsidRPr="00156D56" w:rsidRDefault="002F5C5A" w:rsidP="002F5C5A">
      <w:pPr>
        <w:spacing w:after="60"/>
        <w:ind w:left="900"/>
        <w:jc w:val="both"/>
        <w:rPr>
          <w:rFonts w:ascii="Arial" w:hAnsi="Arial" w:cs="Arial"/>
          <w:sz w:val="22"/>
          <w:szCs w:val="22"/>
        </w:rPr>
      </w:pPr>
    </w:p>
    <w:p w14:paraId="2E79FC72" w14:textId="77777777" w:rsidR="002F5C5A" w:rsidRPr="00156D56" w:rsidRDefault="002F5C5A" w:rsidP="002F5C5A">
      <w:pPr>
        <w:spacing w:after="60"/>
        <w:ind w:left="900"/>
        <w:jc w:val="both"/>
        <w:rPr>
          <w:rFonts w:ascii="Arial" w:hAnsi="Arial" w:cs="Arial"/>
          <w:sz w:val="22"/>
          <w:szCs w:val="22"/>
        </w:rPr>
      </w:pPr>
      <w:r w:rsidRPr="00156D56">
        <w:rPr>
          <w:rFonts w:ascii="Arial" w:hAnsi="Arial" w:cs="Arial"/>
          <w:sz w:val="22"/>
          <w:szCs w:val="22"/>
        </w:rPr>
        <w:t>Esta documentación servirá de ulterior referencia para el control de calidad de los productos que se adquieran, firmado por el profesional a cargo de esta función en el Laboratorio fabricante o en el laboratorio contratado para el efecto.</w:t>
      </w:r>
    </w:p>
    <w:p w14:paraId="18D66035" w14:textId="77777777" w:rsidR="002F5C5A" w:rsidRPr="00156D56" w:rsidRDefault="002F5C5A" w:rsidP="002F5C5A">
      <w:pPr>
        <w:spacing w:after="60"/>
        <w:jc w:val="both"/>
        <w:rPr>
          <w:rFonts w:ascii="Arial" w:hAnsi="Arial" w:cs="Arial"/>
          <w:sz w:val="22"/>
          <w:szCs w:val="22"/>
        </w:rPr>
      </w:pPr>
    </w:p>
    <w:p w14:paraId="73358CF8"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Las ofertas deberán corresponder exactamente a la forma farmacéutica, concentración, envase primario y especificaciones de calidad requeridas para cada medicamento.</w:t>
      </w:r>
    </w:p>
    <w:p w14:paraId="686DFD61" w14:textId="77777777" w:rsidR="002F5C5A" w:rsidRPr="00156D56" w:rsidRDefault="002F5C5A" w:rsidP="002F5C5A">
      <w:pPr>
        <w:tabs>
          <w:tab w:val="num" w:pos="6480"/>
        </w:tabs>
        <w:spacing w:after="60"/>
        <w:ind w:left="900"/>
        <w:jc w:val="both"/>
        <w:rPr>
          <w:rFonts w:ascii="Arial" w:hAnsi="Arial" w:cs="Arial"/>
          <w:sz w:val="22"/>
          <w:szCs w:val="22"/>
        </w:rPr>
      </w:pPr>
    </w:p>
    <w:p w14:paraId="5E9E52AB"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Las ofertas deberán corresponder a los nombres genéricos o Denominación Común Internacional (D.C.I.) requeridos. Los nombres de fantasía, marcas o marcas registradas del proveedor que se agreguen a la oferta no tendrán valor legal.</w:t>
      </w:r>
    </w:p>
    <w:p w14:paraId="7AD6618E" w14:textId="77777777" w:rsidR="002F5C5A" w:rsidRPr="00156D56" w:rsidRDefault="002F5C5A" w:rsidP="002F5C5A">
      <w:pPr>
        <w:spacing w:after="60"/>
        <w:jc w:val="both"/>
        <w:rPr>
          <w:rFonts w:ascii="Arial" w:hAnsi="Arial" w:cs="Arial"/>
          <w:b/>
          <w:bCs/>
          <w:sz w:val="22"/>
          <w:szCs w:val="22"/>
        </w:rPr>
      </w:pPr>
      <w:r w:rsidRPr="00156D56">
        <w:rPr>
          <w:rFonts w:ascii="Arial" w:hAnsi="Arial" w:cs="Arial"/>
          <w:sz w:val="22"/>
          <w:szCs w:val="22"/>
        </w:rPr>
        <w:t> </w:t>
      </w:r>
    </w:p>
    <w:p w14:paraId="0D6972F5" w14:textId="4E70B04B" w:rsidR="002F5C5A" w:rsidRPr="003755DC" w:rsidRDefault="002F5C5A" w:rsidP="003755DC">
      <w:pPr>
        <w:pStyle w:val="Prrafodelista"/>
        <w:numPr>
          <w:ilvl w:val="0"/>
          <w:numId w:val="20"/>
        </w:numPr>
        <w:spacing w:after="60"/>
        <w:jc w:val="both"/>
        <w:rPr>
          <w:rFonts w:ascii="Arial" w:hAnsi="Arial" w:cs="Arial"/>
          <w:b/>
          <w:bCs/>
        </w:rPr>
      </w:pPr>
      <w:r w:rsidRPr="003755DC">
        <w:rPr>
          <w:rFonts w:ascii="Arial" w:hAnsi="Arial" w:cs="Arial"/>
          <w:b/>
          <w:bCs/>
        </w:rPr>
        <w:t>CALIDAD DE LOS PRODUCTOS</w:t>
      </w:r>
    </w:p>
    <w:p w14:paraId="216BE9E9" w14:textId="77777777" w:rsidR="002F5C5A" w:rsidRPr="00156D56" w:rsidRDefault="002F5C5A" w:rsidP="002F5C5A">
      <w:pPr>
        <w:spacing w:after="60"/>
        <w:jc w:val="both"/>
        <w:rPr>
          <w:rFonts w:ascii="Arial" w:hAnsi="Arial" w:cs="Arial"/>
          <w:b/>
          <w:bCs/>
          <w:sz w:val="22"/>
          <w:szCs w:val="22"/>
        </w:rPr>
      </w:pPr>
    </w:p>
    <w:p w14:paraId="43F95F5E"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La calidad de los medicamentos representa la conformidad con las especificaciones de identidad, pureza, concentración y otras características.</w:t>
      </w:r>
    </w:p>
    <w:p w14:paraId="50CC7D2D" w14:textId="77777777" w:rsidR="002F5C5A" w:rsidRPr="00156D56" w:rsidRDefault="002F5C5A" w:rsidP="002F5C5A">
      <w:pPr>
        <w:tabs>
          <w:tab w:val="num" w:pos="6480"/>
        </w:tabs>
        <w:spacing w:after="60"/>
        <w:ind w:left="900"/>
        <w:jc w:val="both"/>
        <w:rPr>
          <w:rFonts w:ascii="Arial" w:hAnsi="Arial" w:cs="Arial"/>
          <w:sz w:val="22"/>
          <w:szCs w:val="22"/>
        </w:rPr>
      </w:pPr>
    </w:p>
    <w:p w14:paraId="4FEB13FE"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Toda propuesta deberá acompañar la </w:t>
      </w:r>
      <w:r w:rsidRPr="00156D56">
        <w:rPr>
          <w:rFonts w:ascii="Arial" w:hAnsi="Arial" w:cs="Arial"/>
          <w:b/>
          <w:sz w:val="22"/>
          <w:szCs w:val="22"/>
        </w:rPr>
        <w:t>fotocopia MODELO del Certificado de Control de Calidad</w:t>
      </w:r>
      <w:r w:rsidRPr="00156D56">
        <w:rPr>
          <w:rFonts w:ascii="Arial" w:hAnsi="Arial" w:cs="Arial"/>
          <w:sz w:val="22"/>
          <w:szCs w:val="22"/>
        </w:rPr>
        <w:t xml:space="preserve"> de todos y cada uno de los productos ofertados firmado por el profesional a cargo de esta función en el laboratorio fabricante o laboratorio contratado para el efecto.</w:t>
      </w:r>
    </w:p>
    <w:p w14:paraId="086ADFA7" w14:textId="77777777" w:rsidR="002F5C5A" w:rsidRPr="00156D56" w:rsidRDefault="002F5C5A" w:rsidP="002F5C5A">
      <w:pPr>
        <w:spacing w:after="200" w:line="276" w:lineRule="auto"/>
        <w:ind w:left="720"/>
        <w:contextualSpacing/>
        <w:rPr>
          <w:rFonts w:ascii="Arial" w:eastAsia="Calibri" w:hAnsi="Arial" w:cs="Arial"/>
          <w:sz w:val="22"/>
          <w:szCs w:val="22"/>
          <w:lang w:eastAsia="en-US"/>
        </w:rPr>
      </w:pPr>
    </w:p>
    <w:p w14:paraId="0712BE1F"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w:t>
      </w:r>
    </w:p>
    <w:p w14:paraId="760B4C71" w14:textId="77777777" w:rsidR="002F5C5A" w:rsidRPr="00156D56" w:rsidRDefault="002F5C5A" w:rsidP="00F16045">
      <w:pPr>
        <w:spacing w:after="60"/>
        <w:jc w:val="both"/>
        <w:rPr>
          <w:rFonts w:ascii="Arial" w:hAnsi="Arial" w:cs="Arial"/>
          <w:sz w:val="22"/>
          <w:szCs w:val="22"/>
        </w:rPr>
      </w:pPr>
    </w:p>
    <w:p w14:paraId="2A8075D3" w14:textId="77777777" w:rsidR="002F5C5A" w:rsidRPr="00156D56" w:rsidRDefault="002F5C5A" w:rsidP="002F5C5A">
      <w:pPr>
        <w:spacing w:after="60"/>
        <w:ind w:left="900"/>
        <w:jc w:val="both"/>
        <w:rPr>
          <w:rFonts w:ascii="Arial" w:hAnsi="Arial" w:cs="Arial"/>
          <w:sz w:val="22"/>
          <w:szCs w:val="22"/>
        </w:rPr>
      </w:pPr>
      <w:r w:rsidRPr="00156D56">
        <w:rPr>
          <w:rFonts w:ascii="Arial" w:hAnsi="Arial" w:cs="Arial"/>
          <w:sz w:val="22"/>
          <w:szCs w:val="22"/>
        </w:rPr>
        <w:t>Los certificados de control de calidad deberán contener por lo menos la siguiente información general:</w:t>
      </w:r>
    </w:p>
    <w:p w14:paraId="1D34F35A" w14:textId="77777777" w:rsidR="002F5C5A" w:rsidRPr="00156D56" w:rsidRDefault="002F5C5A" w:rsidP="002F5C5A">
      <w:pPr>
        <w:numPr>
          <w:ilvl w:val="0"/>
          <w:numId w:val="4"/>
        </w:numPr>
        <w:spacing w:after="60"/>
        <w:ind w:left="1800"/>
        <w:jc w:val="both"/>
        <w:rPr>
          <w:rFonts w:ascii="Arial" w:hAnsi="Arial" w:cs="Arial"/>
          <w:sz w:val="22"/>
          <w:szCs w:val="22"/>
        </w:rPr>
      </w:pPr>
      <w:r w:rsidRPr="00156D56">
        <w:rPr>
          <w:rFonts w:ascii="Arial" w:hAnsi="Arial" w:cs="Arial"/>
          <w:sz w:val="22"/>
          <w:szCs w:val="22"/>
        </w:rPr>
        <w:t>Nombre del fabricante</w:t>
      </w:r>
    </w:p>
    <w:p w14:paraId="1368730E" w14:textId="77777777" w:rsidR="002F5C5A" w:rsidRPr="00156D56" w:rsidRDefault="002F5C5A" w:rsidP="002F5C5A">
      <w:pPr>
        <w:numPr>
          <w:ilvl w:val="0"/>
          <w:numId w:val="4"/>
        </w:numPr>
        <w:spacing w:after="60"/>
        <w:ind w:left="1800"/>
        <w:jc w:val="both"/>
        <w:rPr>
          <w:rFonts w:ascii="Arial" w:hAnsi="Arial" w:cs="Arial"/>
          <w:sz w:val="22"/>
          <w:szCs w:val="22"/>
        </w:rPr>
      </w:pPr>
      <w:r w:rsidRPr="00156D56">
        <w:rPr>
          <w:rFonts w:ascii="Arial" w:hAnsi="Arial" w:cs="Arial"/>
          <w:sz w:val="22"/>
          <w:szCs w:val="22"/>
        </w:rPr>
        <w:t>Nombre(s) genérico(s) del producto o D.C.I.</w:t>
      </w:r>
    </w:p>
    <w:p w14:paraId="29128BC5" w14:textId="77777777" w:rsidR="002F5C5A" w:rsidRPr="00156D56" w:rsidRDefault="002F5C5A" w:rsidP="002F5C5A">
      <w:pPr>
        <w:numPr>
          <w:ilvl w:val="0"/>
          <w:numId w:val="4"/>
        </w:numPr>
        <w:spacing w:after="60"/>
        <w:ind w:left="1800"/>
        <w:jc w:val="both"/>
        <w:rPr>
          <w:rFonts w:ascii="Arial" w:hAnsi="Arial" w:cs="Arial"/>
          <w:sz w:val="22"/>
          <w:szCs w:val="22"/>
        </w:rPr>
      </w:pPr>
      <w:r w:rsidRPr="00156D56">
        <w:rPr>
          <w:rFonts w:ascii="Arial" w:hAnsi="Arial" w:cs="Arial"/>
          <w:sz w:val="22"/>
          <w:szCs w:val="22"/>
        </w:rPr>
        <w:t>Forma farmacéutica y concentración</w:t>
      </w:r>
    </w:p>
    <w:p w14:paraId="4788DA6F" w14:textId="77777777" w:rsidR="002F5C5A" w:rsidRPr="00156D56" w:rsidRDefault="002F5C5A" w:rsidP="002F5C5A">
      <w:pPr>
        <w:numPr>
          <w:ilvl w:val="0"/>
          <w:numId w:val="4"/>
        </w:numPr>
        <w:spacing w:after="60"/>
        <w:ind w:left="1800"/>
        <w:jc w:val="both"/>
        <w:rPr>
          <w:rFonts w:ascii="Arial" w:hAnsi="Arial" w:cs="Arial"/>
          <w:sz w:val="22"/>
          <w:szCs w:val="22"/>
        </w:rPr>
      </w:pPr>
      <w:r w:rsidRPr="00156D56">
        <w:rPr>
          <w:rFonts w:ascii="Arial" w:hAnsi="Arial" w:cs="Arial"/>
          <w:sz w:val="22"/>
          <w:szCs w:val="22"/>
        </w:rPr>
        <w:t>Número y tamaño de lote o serie</w:t>
      </w:r>
    </w:p>
    <w:p w14:paraId="6830B44E" w14:textId="77777777" w:rsidR="002F5C5A" w:rsidRPr="00156D56" w:rsidRDefault="002F5C5A" w:rsidP="002F5C5A">
      <w:pPr>
        <w:numPr>
          <w:ilvl w:val="0"/>
          <w:numId w:val="4"/>
        </w:numPr>
        <w:spacing w:after="60"/>
        <w:ind w:left="1800"/>
        <w:jc w:val="both"/>
        <w:rPr>
          <w:rFonts w:ascii="Arial" w:hAnsi="Arial" w:cs="Arial"/>
          <w:sz w:val="22"/>
          <w:szCs w:val="22"/>
        </w:rPr>
      </w:pPr>
      <w:r w:rsidRPr="00156D56">
        <w:rPr>
          <w:rFonts w:ascii="Arial" w:hAnsi="Arial" w:cs="Arial"/>
          <w:sz w:val="22"/>
          <w:szCs w:val="22"/>
        </w:rPr>
        <w:t xml:space="preserve">Fecha de fabricación o elaboración </w:t>
      </w:r>
    </w:p>
    <w:p w14:paraId="2F820854" w14:textId="77777777" w:rsidR="002F5C5A" w:rsidRPr="00156D56" w:rsidRDefault="002F5C5A" w:rsidP="002F5C5A">
      <w:pPr>
        <w:numPr>
          <w:ilvl w:val="0"/>
          <w:numId w:val="4"/>
        </w:numPr>
        <w:spacing w:after="60"/>
        <w:ind w:left="1800"/>
        <w:jc w:val="both"/>
        <w:rPr>
          <w:rFonts w:ascii="Arial" w:hAnsi="Arial" w:cs="Arial"/>
          <w:sz w:val="22"/>
          <w:szCs w:val="22"/>
        </w:rPr>
      </w:pPr>
      <w:r w:rsidRPr="00156D56">
        <w:rPr>
          <w:rFonts w:ascii="Arial" w:hAnsi="Arial" w:cs="Arial"/>
          <w:sz w:val="22"/>
          <w:szCs w:val="22"/>
        </w:rPr>
        <w:t>Fecha de vencimiento</w:t>
      </w:r>
    </w:p>
    <w:p w14:paraId="2A8638E3" w14:textId="77777777" w:rsidR="002F5C5A" w:rsidRPr="00156D56" w:rsidRDefault="002F5C5A" w:rsidP="002F5C5A">
      <w:pPr>
        <w:numPr>
          <w:ilvl w:val="0"/>
          <w:numId w:val="4"/>
        </w:numPr>
        <w:spacing w:after="60"/>
        <w:ind w:left="1800"/>
        <w:jc w:val="both"/>
        <w:rPr>
          <w:rFonts w:ascii="Arial" w:hAnsi="Arial" w:cs="Arial"/>
          <w:sz w:val="22"/>
          <w:szCs w:val="22"/>
        </w:rPr>
      </w:pPr>
      <w:r w:rsidRPr="00156D56">
        <w:rPr>
          <w:rFonts w:ascii="Arial" w:hAnsi="Arial" w:cs="Arial"/>
          <w:sz w:val="22"/>
          <w:szCs w:val="22"/>
        </w:rPr>
        <w:t>Número y fecha del protocolo de análisis</w:t>
      </w:r>
    </w:p>
    <w:p w14:paraId="7A41230B" w14:textId="77777777" w:rsidR="002F5C5A" w:rsidRPr="00156D56" w:rsidRDefault="002F5C5A" w:rsidP="002F5C5A">
      <w:pPr>
        <w:numPr>
          <w:ilvl w:val="0"/>
          <w:numId w:val="5"/>
        </w:numPr>
        <w:spacing w:after="60"/>
        <w:ind w:left="1800"/>
        <w:jc w:val="both"/>
        <w:rPr>
          <w:rFonts w:ascii="Arial" w:hAnsi="Arial" w:cs="Arial"/>
          <w:sz w:val="22"/>
          <w:szCs w:val="22"/>
        </w:rPr>
      </w:pPr>
      <w:r w:rsidRPr="00156D56">
        <w:rPr>
          <w:rFonts w:ascii="Arial" w:hAnsi="Arial" w:cs="Arial"/>
          <w:sz w:val="22"/>
          <w:szCs w:val="22"/>
        </w:rPr>
        <w:t>Resultados de cada ensayo, límites aceptados y fuentes que avalen estos límites (por ejemplo, USP XXXVI)</w:t>
      </w:r>
    </w:p>
    <w:p w14:paraId="2FEA613F" w14:textId="77777777" w:rsidR="002F5C5A" w:rsidRPr="00156D56" w:rsidRDefault="002F5C5A" w:rsidP="002F5C5A">
      <w:pPr>
        <w:numPr>
          <w:ilvl w:val="0"/>
          <w:numId w:val="5"/>
        </w:numPr>
        <w:spacing w:after="60"/>
        <w:ind w:left="1800"/>
        <w:jc w:val="both"/>
        <w:rPr>
          <w:rFonts w:ascii="Arial" w:hAnsi="Arial" w:cs="Arial"/>
          <w:sz w:val="22"/>
          <w:szCs w:val="22"/>
        </w:rPr>
      </w:pPr>
      <w:r w:rsidRPr="00156D56">
        <w:rPr>
          <w:rFonts w:ascii="Arial" w:hAnsi="Arial" w:cs="Arial"/>
          <w:sz w:val="22"/>
          <w:szCs w:val="22"/>
        </w:rPr>
        <w:t>Constancia de aprobación del lote</w:t>
      </w:r>
    </w:p>
    <w:p w14:paraId="4DA1784A" w14:textId="77777777" w:rsidR="002F5C5A" w:rsidRPr="00156D56" w:rsidRDefault="002F5C5A" w:rsidP="002F5C5A">
      <w:pPr>
        <w:spacing w:after="60"/>
        <w:ind w:left="1800"/>
        <w:jc w:val="both"/>
        <w:rPr>
          <w:rFonts w:ascii="Arial" w:hAnsi="Arial" w:cs="Arial"/>
          <w:sz w:val="22"/>
          <w:szCs w:val="22"/>
        </w:rPr>
      </w:pPr>
    </w:p>
    <w:p w14:paraId="469096E2"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Los Certificados de </w:t>
      </w:r>
      <w:r w:rsidRPr="00156D56">
        <w:rPr>
          <w:rFonts w:ascii="Arial" w:hAnsi="Arial" w:cs="Arial"/>
          <w:b/>
          <w:sz w:val="22"/>
          <w:szCs w:val="22"/>
        </w:rPr>
        <w:t>Control de comprimidos, grageas y cápsulas</w:t>
      </w:r>
      <w:r w:rsidRPr="00156D56">
        <w:rPr>
          <w:rFonts w:ascii="Arial" w:hAnsi="Arial" w:cs="Arial"/>
          <w:sz w:val="22"/>
          <w:szCs w:val="22"/>
        </w:rPr>
        <w:t xml:space="preserve"> deberán contener, además de lo indicado en el punto 2.3. la siguiente información mínima:</w:t>
      </w:r>
    </w:p>
    <w:p w14:paraId="33F93A70" w14:textId="77777777" w:rsidR="002F5C5A" w:rsidRPr="00156D56" w:rsidRDefault="002F5C5A" w:rsidP="002F5C5A">
      <w:pPr>
        <w:spacing w:after="60"/>
        <w:jc w:val="both"/>
        <w:rPr>
          <w:rFonts w:ascii="Arial" w:hAnsi="Arial" w:cs="Arial"/>
          <w:sz w:val="22"/>
          <w:szCs w:val="22"/>
        </w:rPr>
      </w:pPr>
    </w:p>
    <w:p w14:paraId="7B43A876"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Descripción (aspecto, color, olor)</w:t>
      </w:r>
    </w:p>
    <w:p w14:paraId="6DA2A589"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Peso promedio</w:t>
      </w:r>
    </w:p>
    <w:p w14:paraId="13B55D8D"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Variación del peso</w:t>
      </w:r>
    </w:p>
    <w:p w14:paraId="2FD2A98A"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Dureza, cuando corresponda</w:t>
      </w:r>
    </w:p>
    <w:p w14:paraId="3FBED944"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Tiempo de desintegración</w:t>
      </w:r>
    </w:p>
    <w:p w14:paraId="17A1E025"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 xml:space="preserve">Test de disolución (cuando así lo requiera la farmacopea de referencia) </w:t>
      </w:r>
    </w:p>
    <w:p w14:paraId="3820A822"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Uniformidad de contenido (cuando así lo requiera la farmacopea de referencia)</w:t>
      </w:r>
    </w:p>
    <w:p w14:paraId="57DEFF22" w14:textId="77777777" w:rsidR="002F5C5A" w:rsidRPr="00156D56" w:rsidRDefault="002F5C5A" w:rsidP="002F5C5A">
      <w:pPr>
        <w:spacing w:after="60"/>
        <w:ind w:left="1440"/>
        <w:jc w:val="both"/>
        <w:rPr>
          <w:rFonts w:ascii="Arial" w:hAnsi="Arial" w:cs="Arial"/>
          <w:sz w:val="22"/>
          <w:szCs w:val="22"/>
        </w:rPr>
      </w:pPr>
    </w:p>
    <w:p w14:paraId="20EEB2F0"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Los Certificados de Control de Calidad de inyectables deberán contener, además de lo indicado en el punto 2.3. la siguiente información mínima:   </w:t>
      </w:r>
    </w:p>
    <w:p w14:paraId="00537722" w14:textId="77777777" w:rsidR="002F5C5A" w:rsidRPr="00156D56" w:rsidRDefault="002F5C5A" w:rsidP="002F5C5A">
      <w:pPr>
        <w:spacing w:after="60"/>
        <w:jc w:val="both"/>
        <w:rPr>
          <w:rFonts w:ascii="Arial" w:hAnsi="Arial" w:cs="Arial"/>
          <w:sz w:val="22"/>
          <w:szCs w:val="22"/>
        </w:rPr>
      </w:pPr>
    </w:p>
    <w:p w14:paraId="1D0E13F1"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Aspecto y color de la solución (sí el producto es sólido indicar la cantidad de solvente usado para esta prueba)</w:t>
      </w:r>
    </w:p>
    <w:p w14:paraId="401FCE0F"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pH</w:t>
      </w:r>
    </w:p>
    <w:p w14:paraId="1F30DE95" w14:textId="77777777" w:rsidR="002F5C5A" w:rsidRPr="00156D56" w:rsidRDefault="002F5C5A" w:rsidP="002F5C5A">
      <w:pPr>
        <w:numPr>
          <w:ilvl w:val="0"/>
          <w:numId w:val="6"/>
        </w:numPr>
        <w:spacing w:after="60"/>
        <w:ind w:left="1800"/>
        <w:jc w:val="both"/>
        <w:rPr>
          <w:rFonts w:ascii="Arial" w:hAnsi="Arial" w:cs="Arial"/>
          <w:sz w:val="22"/>
          <w:szCs w:val="22"/>
        </w:rPr>
      </w:pPr>
      <w:r w:rsidRPr="00156D56">
        <w:rPr>
          <w:rFonts w:ascii="Arial" w:hAnsi="Arial" w:cs="Arial"/>
          <w:sz w:val="22"/>
          <w:szCs w:val="22"/>
        </w:rPr>
        <w:t>Contenido útil individual</w:t>
      </w:r>
    </w:p>
    <w:p w14:paraId="30D7B865" w14:textId="77777777" w:rsidR="002F5C5A" w:rsidRPr="00156D56" w:rsidRDefault="002F5C5A" w:rsidP="002F5C5A">
      <w:pPr>
        <w:numPr>
          <w:ilvl w:val="0"/>
          <w:numId w:val="7"/>
        </w:numPr>
        <w:spacing w:after="60"/>
        <w:ind w:left="1800"/>
        <w:jc w:val="both"/>
        <w:rPr>
          <w:rFonts w:ascii="Arial" w:hAnsi="Arial" w:cs="Arial"/>
          <w:sz w:val="22"/>
          <w:szCs w:val="22"/>
        </w:rPr>
      </w:pPr>
      <w:r w:rsidRPr="00156D56">
        <w:rPr>
          <w:rFonts w:ascii="Arial" w:hAnsi="Arial" w:cs="Arial"/>
          <w:sz w:val="22"/>
          <w:szCs w:val="22"/>
        </w:rPr>
        <w:t>Control de esterilidad y pirógenos</w:t>
      </w:r>
    </w:p>
    <w:p w14:paraId="5EC9D25B" w14:textId="77777777" w:rsidR="002F5C5A" w:rsidRPr="00156D56" w:rsidRDefault="002F5C5A" w:rsidP="002F5C5A">
      <w:pPr>
        <w:spacing w:after="60"/>
        <w:ind w:left="1440"/>
        <w:jc w:val="both"/>
        <w:rPr>
          <w:rFonts w:ascii="Arial" w:hAnsi="Arial" w:cs="Arial"/>
          <w:sz w:val="22"/>
          <w:szCs w:val="22"/>
        </w:rPr>
      </w:pPr>
    </w:p>
    <w:p w14:paraId="7F97DAD3"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Los Certificados de Control de Calidad de jarabes y soluciones orales deberán contener, además de lo indicado en el punto 2.3. la siguiente información mínima:</w:t>
      </w:r>
    </w:p>
    <w:p w14:paraId="7FB2D4D3" w14:textId="77777777" w:rsidR="002F5C5A" w:rsidRPr="00156D56" w:rsidRDefault="002F5C5A" w:rsidP="002F5C5A">
      <w:pPr>
        <w:spacing w:after="60"/>
        <w:jc w:val="both"/>
        <w:rPr>
          <w:rFonts w:ascii="Arial" w:hAnsi="Arial" w:cs="Arial"/>
          <w:sz w:val="22"/>
          <w:szCs w:val="22"/>
        </w:rPr>
      </w:pPr>
    </w:p>
    <w:p w14:paraId="0A9B8C61"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Descripción (aspecto, color, olor)</w:t>
      </w:r>
    </w:p>
    <w:p w14:paraId="0C65241B"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Contenido útil individual</w:t>
      </w:r>
    </w:p>
    <w:p w14:paraId="1F26E27F"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Contenido útil promedio</w:t>
      </w:r>
    </w:p>
    <w:p w14:paraId="31CBEEF0"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pH</w:t>
      </w:r>
    </w:p>
    <w:p w14:paraId="779A4DFE"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Identidad de los edulcorantes (sí procede)</w:t>
      </w:r>
    </w:p>
    <w:p w14:paraId="75AEFD2F"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Valoración de sacarosa (sí procede)</w:t>
      </w:r>
    </w:p>
    <w:p w14:paraId="5533F447"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Pruebas de control bacteriológico indicando límites.</w:t>
      </w:r>
    </w:p>
    <w:p w14:paraId="452F198A" w14:textId="77777777" w:rsidR="002F5C5A" w:rsidRPr="00156D56" w:rsidRDefault="002F5C5A" w:rsidP="002F5C5A">
      <w:pPr>
        <w:spacing w:after="60"/>
        <w:ind w:left="1440"/>
        <w:jc w:val="both"/>
        <w:rPr>
          <w:rFonts w:ascii="Arial" w:hAnsi="Arial" w:cs="Arial"/>
          <w:sz w:val="22"/>
          <w:szCs w:val="22"/>
        </w:rPr>
      </w:pPr>
    </w:p>
    <w:p w14:paraId="3AF3A37E"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Los Certificados de Control de Calidad de cremas y pomadas deberán contener, además de lo indicado en el punto 2.3. la siguiente información mínima: </w:t>
      </w:r>
    </w:p>
    <w:p w14:paraId="2FD3E2E1" w14:textId="77777777" w:rsidR="002F5C5A" w:rsidRPr="00156D56" w:rsidRDefault="002F5C5A" w:rsidP="002F5C5A">
      <w:pPr>
        <w:spacing w:after="60"/>
        <w:jc w:val="both"/>
        <w:rPr>
          <w:rFonts w:ascii="Arial" w:hAnsi="Arial" w:cs="Arial"/>
          <w:sz w:val="22"/>
          <w:szCs w:val="22"/>
        </w:rPr>
      </w:pPr>
    </w:p>
    <w:p w14:paraId="6EB39DDD"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Descripción (aspecto, color, olor)</w:t>
      </w:r>
    </w:p>
    <w:p w14:paraId="7BBC161A"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Contenido útil individual</w:t>
      </w:r>
    </w:p>
    <w:p w14:paraId="79A8D628" w14:textId="77777777" w:rsidR="002F5C5A" w:rsidRPr="00156D56" w:rsidRDefault="002F5C5A" w:rsidP="002F5C5A">
      <w:pPr>
        <w:numPr>
          <w:ilvl w:val="0"/>
          <w:numId w:val="8"/>
        </w:numPr>
        <w:spacing w:after="60"/>
        <w:ind w:left="1800"/>
        <w:jc w:val="both"/>
        <w:rPr>
          <w:rFonts w:ascii="Arial" w:hAnsi="Arial" w:cs="Arial"/>
          <w:sz w:val="22"/>
          <w:szCs w:val="22"/>
        </w:rPr>
      </w:pPr>
      <w:r w:rsidRPr="00156D56">
        <w:rPr>
          <w:rFonts w:ascii="Arial" w:hAnsi="Arial" w:cs="Arial"/>
          <w:sz w:val="22"/>
          <w:szCs w:val="22"/>
        </w:rPr>
        <w:t>Contenido útil promedio</w:t>
      </w:r>
    </w:p>
    <w:p w14:paraId="5D2CC054" w14:textId="77777777" w:rsidR="002F5C5A" w:rsidRPr="00156D56" w:rsidRDefault="002F5C5A" w:rsidP="002F5C5A">
      <w:pPr>
        <w:numPr>
          <w:ilvl w:val="0"/>
          <w:numId w:val="9"/>
        </w:numPr>
        <w:spacing w:after="60"/>
        <w:ind w:left="1800"/>
        <w:jc w:val="both"/>
        <w:rPr>
          <w:rFonts w:ascii="Arial" w:hAnsi="Arial" w:cs="Arial"/>
          <w:sz w:val="22"/>
          <w:szCs w:val="22"/>
        </w:rPr>
      </w:pPr>
      <w:r w:rsidRPr="00156D56">
        <w:rPr>
          <w:rFonts w:ascii="Arial" w:hAnsi="Arial" w:cs="Arial"/>
          <w:sz w:val="22"/>
          <w:szCs w:val="22"/>
        </w:rPr>
        <w:t>Pruebas de contaminación</w:t>
      </w:r>
    </w:p>
    <w:p w14:paraId="18DB43D7" w14:textId="77777777" w:rsidR="002F5C5A" w:rsidRPr="00156D56" w:rsidRDefault="002F5C5A" w:rsidP="002F5C5A">
      <w:pPr>
        <w:spacing w:after="60"/>
        <w:ind w:left="1440"/>
        <w:jc w:val="both"/>
        <w:rPr>
          <w:rFonts w:ascii="Arial" w:hAnsi="Arial" w:cs="Arial"/>
          <w:sz w:val="22"/>
          <w:szCs w:val="22"/>
        </w:rPr>
      </w:pPr>
    </w:p>
    <w:p w14:paraId="2EC6431B"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Los Certificados de Control de Calidad de colirios deberán contener, además de lo indicado en el punto 2.3. la siguiente información mínima:  </w:t>
      </w:r>
    </w:p>
    <w:p w14:paraId="07093EE6" w14:textId="77777777" w:rsidR="002F5C5A" w:rsidRPr="00156D56" w:rsidRDefault="002F5C5A" w:rsidP="002F5C5A">
      <w:pPr>
        <w:spacing w:after="60"/>
        <w:jc w:val="both"/>
        <w:rPr>
          <w:rFonts w:ascii="Arial" w:hAnsi="Arial" w:cs="Arial"/>
          <w:sz w:val="22"/>
          <w:szCs w:val="22"/>
        </w:rPr>
      </w:pPr>
    </w:p>
    <w:p w14:paraId="08BEBA1A" w14:textId="77777777" w:rsidR="002F5C5A" w:rsidRPr="00156D56" w:rsidRDefault="002F5C5A" w:rsidP="002F5C5A">
      <w:pPr>
        <w:numPr>
          <w:ilvl w:val="0"/>
          <w:numId w:val="10"/>
        </w:numPr>
        <w:spacing w:after="60"/>
        <w:ind w:left="1932"/>
        <w:jc w:val="both"/>
        <w:rPr>
          <w:rFonts w:ascii="Arial" w:hAnsi="Arial" w:cs="Arial"/>
          <w:sz w:val="22"/>
          <w:szCs w:val="22"/>
        </w:rPr>
      </w:pPr>
      <w:r w:rsidRPr="00156D56">
        <w:rPr>
          <w:rFonts w:ascii="Arial" w:hAnsi="Arial" w:cs="Arial"/>
          <w:sz w:val="22"/>
          <w:szCs w:val="22"/>
        </w:rPr>
        <w:t>Descripción (aspecto, color)</w:t>
      </w:r>
    </w:p>
    <w:p w14:paraId="17F621EF" w14:textId="77777777" w:rsidR="002F5C5A" w:rsidRPr="00156D56" w:rsidRDefault="002F5C5A" w:rsidP="002F5C5A">
      <w:pPr>
        <w:numPr>
          <w:ilvl w:val="0"/>
          <w:numId w:val="10"/>
        </w:numPr>
        <w:spacing w:after="60"/>
        <w:ind w:left="1932"/>
        <w:jc w:val="both"/>
        <w:rPr>
          <w:rFonts w:ascii="Arial" w:hAnsi="Arial" w:cs="Arial"/>
          <w:sz w:val="22"/>
          <w:szCs w:val="22"/>
        </w:rPr>
      </w:pPr>
      <w:r w:rsidRPr="00156D56">
        <w:rPr>
          <w:rFonts w:ascii="Arial" w:hAnsi="Arial" w:cs="Arial"/>
          <w:sz w:val="22"/>
          <w:szCs w:val="22"/>
        </w:rPr>
        <w:t>pH</w:t>
      </w:r>
    </w:p>
    <w:p w14:paraId="588080ED" w14:textId="77777777" w:rsidR="002F5C5A" w:rsidRPr="00156D56" w:rsidRDefault="002F5C5A" w:rsidP="002F5C5A">
      <w:pPr>
        <w:numPr>
          <w:ilvl w:val="0"/>
          <w:numId w:val="10"/>
        </w:numPr>
        <w:spacing w:after="60"/>
        <w:ind w:left="1932"/>
        <w:jc w:val="both"/>
        <w:rPr>
          <w:rFonts w:ascii="Arial" w:hAnsi="Arial" w:cs="Arial"/>
          <w:sz w:val="22"/>
          <w:szCs w:val="22"/>
        </w:rPr>
      </w:pPr>
      <w:r w:rsidRPr="00156D56">
        <w:rPr>
          <w:rFonts w:ascii="Arial" w:hAnsi="Arial" w:cs="Arial"/>
          <w:sz w:val="22"/>
          <w:szCs w:val="22"/>
        </w:rPr>
        <w:t>Contenido útil individual</w:t>
      </w:r>
    </w:p>
    <w:p w14:paraId="54DED94A" w14:textId="77777777" w:rsidR="002F5C5A" w:rsidRPr="00156D56" w:rsidRDefault="002F5C5A" w:rsidP="002F5C5A">
      <w:pPr>
        <w:numPr>
          <w:ilvl w:val="0"/>
          <w:numId w:val="10"/>
        </w:numPr>
        <w:spacing w:after="60"/>
        <w:ind w:left="1932"/>
        <w:jc w:val="both"/>
        <w:rPr>
          <w:rFonts w:ascii="Arial" w:hAnsi="Arial" w:cs="Arial"/>
          <w:sz w:val="22"/>
          <w:szCs w:val="22"/>
        </w:rPr>
      </w:pPr>
      <w:r w:rsidRPr="00156D56">
        <w:rPr>
          <w:rFonts w:ascii="Arial" w:hAnsi="Arial" w:cs="Arial"/>
          <w:sz w:val="22"/>
          <w:szCs w:val="22"/>
        </w:rPr>
        <w:t>Contenido útil promedio</w:t>
      </w:r>
    </w:p>
    <w:p w14:paraId="0442D9E2" w14:textId="77777777" w:rsidR="002F5C5A" w:rsidRPr="00156D56" w:rsidRDefault="002F5C5A" w:rsidP="002F5C5A">
      <w:pPr>
        <w:numPr>
          <w:ilvl w:val="0"/>
          <w:numId w:val="10"/>
        </w:numPr>
        <w:spacing w:after="60"/>
        <w:ind w:left="1932"/>
        <w:jc w:val="both"/>
        <w:rPr>
          <w:rFonts w:ascii="Arial" w:hAnsi="Arial" w:cs="Arial"/>
          <w:sz w:val="22"/>
          <w:szCs w:val="22"/>
        </w:rPr>
      </w:pPr>
      <w:r w:rsidRPr="00156D56">
        <w:rPr>
          <w:rFonts w:ascii="Arial" w:hAnsi="Arial" w:cs="Arial"/>
          <w:sz w:val="22"/>
          <w:szCs w:val="22"/>
        </w:rPr>
        <w:t>Control de esterilidad</w:t>
      </w:r>
    </w:p>
    <w:p w14:paraId="13AD5918" w14:textId="77777777" w:rsidR="002F5C5A" w:rsidRPr="00156D56" w:rsidRDefault="002F5C5A" w:rsidP="002F5C5A">
      <w:pPr>
        <w:numPr>
          <w:ilvl w:val="0"/>
          <w:numId w:val="10"/>
        </w:numPr>
        <w:spacing w:after="60"/>
        <w:ind w:left="1932"/>
        <w:jc w:val="both"/>
        <w:rPr>
          <w:rFonts w:ascii="Arial" w:hAnsi="Arial" w:cs="Arial"/>
          <w:sz w:val="22"/>
          <w:szCs w:val="22"/>
        </w:rPr>
      </w:pPr>
      <w:r w:rsidRPr="00156D56">
        <w:rPr>
          <w:rFonts w:ascii="Arial" w:hAnsi="Arial" w:cs="Arial"/>
          <w:sz w:val="22"/>
          <w:szCs w:val="22"/>
        </w:rPr>
        <w:t>Osmolaridad</w:t>
      </w:r>
    </w:p>
    <w:p w14:paraId="7C3FA4B6" w14:textId="77777777" w:rsidR="002F5C5A" w:rsidRPr="00156D56" w:rsidRDefault="002F5C5A" w:rsidP="002F5C5A">
      <w:pPr>
        <w:spacing w:after="60"/>
        <w:ind w:left="1572"/>
        <w:jc w:val="both"/>
        <w:rPr>
          <w:rFonts w:ascii="Arial" w:hAnsi="Arial" w:cs="Arial"/>
          <w:sz w:val="22"/>
          <w:szCs w:val="22"/>
        </w:rPr>
      </w:pPr>
    </w:p>
    <w:p w14:paraId="309EE6C2"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Los Certificados de Control de Calidad de otras formas farmacéuticas no enumeradas anteriormente deberán proveer, además de lo indicado en el punto 2.3., los indicadores universalmente exigidos para cada una de ellas, según se describen en las farmacopeas reconocidas por el país (Ley No.1737) </w:t>
      </w:r>
    </w:p>
    <w:p w14:paraId="5B077811" w14:textId="77777777" w:rsidR="002F5C5A" w:rsidRPr="00156D56" w:rsidRDefault="002F5C5A" w:rsidP="002F5C5A">
      <w:pPr>
        <w:spacing w:after="60"/>
        <w:jc w:val="both"/>
        <w:rPr>
          <w:rFonts w:ascii="Arial" w:hAnsi="Arial" w:cs="Arial"/>
          <w:sz w:val="22"/>
          <w:szCs w:val="22"/>
        </w:rPr>
      </w:pPr>
    </w:p>
    <w:p w14:paraId="48960AFA" w14:textId="12C618F2" w:rsidR="002F5C5A" w:rsidRPr="003755DC" w:rsidRDefault="002F5C5A" w:rsidP="003755DC">
      <w:pPr>
        <w:pStyle w:val="Prrafodelista"/>
        <w:numPr>
          <w:ilvl w:val="0"/>
          <w:numId w:val="20"/>
        </w:numPr>
        <w:spacing w:after="60"/>
        <w:jc w:val="both"/>
        <w:rPr>
          <w:rFonts w:ascii="Arial" w:hAnsi="Arial" w:cs="Arial"/>
          <w:b/>
          <w:bCs/>
        </w:rPr>
      </w:pPr>
      <w:r w:rsidRPr="003755DC">
        <w:rPr>
          <w:rFonts w:ascii="Arial" w:hAnsi="Arial" w:cs="Arial"/>
          <w:b/>
          <w:bCs/>
        </w:rPr>
        <w:t>ENVASES DE LOS PRODUCTOS</w:t>
      </w:r>
    </w:p>
    <w:p w14:paraId="3F2FFAC1" w14:textId="77777777" w:rsidR="002F5C5A" w:rsidRPr="00156D56" w:rsidRDefault="002F5C5A" w:rsidP="002F5C5A">
      <w:pPr>
        <w:spacing w:after="60"/>
        <w:jc w:val="both"/>
        <w:rPr>
          <w:rFonts w:ascii="Arial" w:hAnsi="Arial" w:cs="Arial"/>
          <w:b/>
          <w:bCs/>
          <w:sz w:val="22"/>
          <w:szCs w:val="22"/>
        </w:rPr>
      </w:pPr>
    </w:p>
    <w:p w14:paraId="2EB3811A"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Los envases en que los proveedores entreguen los productos deberán corresponder exactamente a los señalados en la propuesta técnica.</w:t>
      </w:r>
    </w:p>
    <w:p w14:paraId="376C84C2" w14:textId="77777777" w:rsidR="002F5C5A" w:rsidRPr="00156D56" w:rsidRDefault="002F5C5A" w:rsidP="002F5C5A">
      <w:pPr>
        <w:tabs>
          <w:tab w:val="num" w:pos="6480"/>
        </w:tabs>
        <w:spacing w:after="60"/>
        <w:ind w:left="900"/>
        <w:jc w:val="both"/>
        <w:rPr>
          <w:rFonts w:ascii="Arial" w:hAnsi="Arial" w:cs="Arial"/>
          <w:sz w:val="22"/>
          <w:szCs w:val="22"/>
        </w:rPr>
      </w:pPr>
    </w:p>
    <w:p w14:paraId="592DD6CC"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Por envase primario se entiende aquél que está en contacto directo con el producto (forma farmacéutica), y por envase secundario aquél que contiene uno o más envases primarios. </w:t>
      </w:r>
    </w:p>
    <w:p w14:paraId="4E964585" w14:textId="77777777" w:rsidR="002F5C5A" w:rsidRPr="00156D56" w:rsidRDefault="002F5C5A" w:rsidP="002F5C5A">
      <w:pPr>
        <w:spacing w:after="200" w:line="276" w:lineRule="auto"/>
        <w:ind w:left="720"/>
        <w:contextualSpacing/>
        <w:rPr>
          <w:rFonts w:ascii="Arial" w:eastAsia="Calibri" w:hAnsi="Arial" w:cs="Arial"/>
          <w:sz w:val="22"/>
          <w:szCs w:val="22"/>
          <w:lang w:eastAsia="en-US"/>
        </w:rPr>
      </w:pPr>
    </w:p>
    <w:p w14:paraId="75F5F15B"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El tipo y material de los envases primarios deberá ser de naturaleza tal que aseguren la conservación y estabilidad del producto durante su vida útil, </w:t>
      </w:r>
      <w:r w:rsidRPr="00156D56">
        <w:rPr>
          <w:rFonts w:ascii="Arial" w:hAnsi="Arial" w:cs="Arial"/>
          <w:sz w:val="22"/>
          <w:szCs w:val="22"/>
        </w:rPr>
        <w:lastRenderedPageBreak/>
        <w:t>tomando en cuenta las características de los mismos como ser la foto sensibilidad, termo sensibilidad e higroscopicidad.</w:t>
      </w:r>
    </w:p>
    <w:p w14:paraId="77391B6E" w14:textId="77777777" w:rsidR="002F5C5A" w:rsidRPr="00156D56" w:rsidRDefault="002F5C5A" w:rsidP="002F5C5A">
      <w:pPr>
        <w:spacing w:after="200" w:line="276" w:lineRule="auto"/>
        <w:ind w:left="720"/>
        <w:contextualSpacing/>
        <w:rPr>
          <w:rFonts w:ascii="Arial" w:eastAsia="Calibri" w:hAnsi="Arial" w:cs="Arial"/>
          <w:sz w:val="22"/>
          <w:szCs w:val="22"/>
          <w:lang w:eastAsia="en-US"/>
        </w:rPr>
      </w:pPr>
    </w:p>
    <w:p w14:paraId="64DE300A"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Todos los envases primarios deberán estar sellados de manera que se garantice su inviolabilidad. No se aceptarán envases que presenten sellos, marcas o grabados de productos distintos a los que contienen.</w:t>
      </w:r>
    </w:p>
    <w:p w14:paraId="3AE5CAD2" w14:textId="77777777" w:rsidR="002F5C5A" w:rsidRPr="00156D56" w:rsidRDefault="002F5C5A" w:rsidP="002F5C5A">
      <w:pPr>
        <w:spacing w:after="200" w:line="276" w:lineRule="auto"/>
        <w:ind w:left="720"/>
        <w:contextualSpacing/>
        <w:rPr>
          <w:rFonts w:ascii="Arial" w:eastAsia="Calibri" w:hAnsi="Arial" w:cs="Arial"/>
          <w:sz w:val="22"/>
          <w:szCs w:val="22"/>
          <w:lang w:eastAsia="en-US"/>
        </w:rPr>
      </w:pPr>
    </w:p>
    <w:p w14:paraId="1CA2B64E"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Todos los rótulos de los envases primarios y secundarios estarán impresos </w:t>
      </w:r>
      <w:r w:rsidRPr="00156D56">
        <w:rPr>
          <w:rFonts w:ascii="Arial" w:hAnsi="Arial" w:cs="Arial"/>
          <w:b/>
          <w:sz w:val="22"/>
          <w:szCs w:val="22"/>
        </w:rPr>
        <w:t>en idioma español.</w:t>
      </w:r>
    </w:p>
    <w:p w14:paraId="293883E9" w14:textId="77777777" w:rsidR="002F5C5A" w:rsidRPr="00156D56" w:rsidRDefault="002F5C5A" w:rsidP="002F5C5A">
      <w:pPr>
        <w:spacing w:after="200" w:line="276" w:lineRule="auto"/>
        <w:ind w:left="720"/>
        <w:contextualSpacing/>
        <w:rPr>
          <w:rFonts w:ascii="Arial" w:eastAsia="Calibri" w:hAnsi="Arial" w:cs="Arial"/>
          <w:sz w:val="22"/>
          <w:szCs w:val="22"/>
          <w:lang w:eastAsia="en-US"/>
        </w:rPr>
      </w:pPr>
    </w:p>
    <w:p w14:paraId="7829569C"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Las etiquetas y rótulos deben ser permanentes y de difícil remoción. </w:t>
      </w:r>
    </w:p>
    <w:p w14:paraId="64EC9E1F" w14:textId="77777777" w:rsidR="002F5C5A" w:rsidRPr="00156D56" w:rsidRDefault="002F5C5A" w:rsidP="002F5C5A">
      <w:pPr>
        <w:spacing w:after="200" w:line="276" w:lineRule="auto"/>
        <w:ind w:left="720"/>
        <w:contextualSpacing/>
        <w:rPr>
          <w:rFonts w:ascii="Arial" w:eastAsia="Calibri" w:hAnsi="Arial" w:cs="Arial"/>
          <w:sz w:val="22"/>
          <w:szCs w:val="22"/>
          <w:lang w:eastAsia="en-US"/>
        </w:rPr>
      </w:pPr>
    </w:p>
    <w:p w14:paraId="647B0A6A"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Cuando los comprimidos, grageas y cápsulas se presenten en láminas aluminio termo sellado o blíster éstos deberán contener la siguiente información:</w:t>
      </w:r>
    </w:p>
    <w:p w14:paraId="5F4B67B6" w14:textId="77777777" w:rsidR="002F5C5A" w:rsidRPr="00156D56" w:rsidRDefault="002F5C5A" w:rsidP="002F5C5A">
      <w:pPr>
        <w:spacing w:after="60"/>
        <w:ind w:left="1440"/>
        <w:jc w:val="both"/>
        <w:rPr>
          <w:rFonts w:ascii="Arial" w:hAnsi="Arial" w:cs="Arial"/>
          <w:sz w:val="22"/>
          <w:szCs w:val="22"/>
        </w:rPr>
      </w:pPr>
    </w:p>
    <w:p w14:paraId="6AD69DD6"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Nombre comercial si lo tiene</w:t>
      </w:r>
    </w:p>
    <w:p w14:paraId="46720A16"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Nombre genérico del producto y/o D.C.I. (Denominación Común Internacional).</w:t>
      </w:r>
    </w:p>
    <w:p w14:paraId="1FF9C4D6"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 xml:space="preserve">Concentración </w:t>
      </w:r>
    </w:p>
    <w:p w14:paraId="4C010D39"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Número de lote</w:t>
      </w:r>
    </w:p>
    <w:p w14:paraId="5F65287C"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Fecha de vencimiento no codificada</w:t>
      </w:r>
    </w:p>
    <w:p w14:paraId="46CF02A6"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Nombre del fabricante</w:t>
      </w:r>
    </w:p>
    <w:p w14:paraId="0EA57FD6" w14:textId="77777777" w:rsidR="002F5C5A" w:rsidRPr="00156D56" w:rsidRDefault="002F5C5A" w:rsidP="002F5C5A">
      <w:pPr>
        <w:spacing w:after="60"/>
        <w:ind w:left="1800"/>
        <w:jc w:val="both"/>
        <w:rPr>
          <w:rFonts w:ascii="Arial" w:hAnsi="Arial" w:cs="Arial"/>
          <w:b/>
          <w:sz w:val="22"/>
          <w:szCs w:val="22"/>
        </w:rPr>
      </w:pPr>
    </w:p>
    <w:p w14:paraId="7E25ECEF" w14:textId="77777777" w:rsidR="002F5C5A" w:rsidRPr="00156D56" w:rsidRDefault="002F5C5A" w:rsidP="002F5C5A">
      <w:pPr>
        <w:spacing w:after="60"/>
        <w:ind w:left="1800"/>
        <w:jc w:val="both"/>
        <w:rPr>
          <w:rFonts w:ascii="Arial" w:hAnsi="Arial" w:cs="Arial"/>
          <w:sz w:val="22"/>
          <w:szCs w:val="22"/>
        </w:rPr>
      </w:pPr>
      <w:r w:rsidRPr="00156D56">
        <w:rPr>
          <w:rFonts w:ascii="Arial" w:hAnsi="Arial" w:cs="Arial"/>
          <w:sz w:val="22"/>
          <w:szCs w:val="22"/>
        </w:rPr>
        <w:t xml:space="preserve">  </w:t>
      </w:r>
    </w:p>
    <w:p w14:paraId="0FFF95DF"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Las ampollas y frascos viales deberán indicar la siguiente información, en el envase primario: </w:t>
      </w:r>
    </w:p>
    <w:p w14:paraId="5B254807" w14:textId="77777777" w:rsidR="002F5C5A" w:rsidRPr="00156D56" w:rsidRDefault="002F5C5A" w:rsidP="002F5C5A">
      <w:pPr>
        <w:spacing w:after="60"/>
        <w:jc w:val="both"/>
        <w:rPr>
          <w:rFonts w:ascii="Arial" w:hAnsi="Arial" w:cs="Arial"/>
          <w:sz w:val="22"/>
          <w:szCs w:val="22"/>
        </w:rPr>
      </w:pPr>
    </w:p>
    <w:p w14:paraId="40492157"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Nombre comercial si lo tiene</w:t>
      </w:r>
    </w:p>
    <w:p w14:paraId="5090D68E"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Nombre genérico del producto y/o D.C.I. (Denominación Común Internacional).</w:t>
      </w:r>
    </w:p>
    <w:p w14:paraId="5F83D828"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 xml:space="preserve">Concentración (relación de principios activos con indicación de la cantidad de cada uno) </w:t>
      </w:r>
    </w:p>
    <w:p w14:paraId="600856D0"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 xml:space="preserve">Contenido neto (peso o volumen), </w:t>
      </w:r>
    </w:p>
    <w:p w14:paraId="3AF75310"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Número de lote</w:t>
      </w:r>
    </w:p>
    <w:p w14:paraId="3D3A5D10"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Fecha de vencimiento no codificada</w:t>
      </w:r>
    </w:p>
    <w:p w14:paraId="0310F6E6"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Vía de administración IV, IM o SC según corresponda</w:t>
      </w:r>
    </w:p>
    <w:p w14:paraId="3CDC7EFE"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Condiciones especiales de almacenamiento, manipulación o uso que pudieran ser necesarias cuando corresponda</w:t>
      </w:r>
    </w:p>
    <w:p w14:paraId="72009AE8"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Nombre del fabricante</w:t>
      </w:r>
    </w:p>
    <w:p w14:paraId="1C43B5D0"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Procedencia</w:t>
      </w:r>
    </w:p>
    <w:p w14:paraId="6CA2A608" w14:textId="77777777" w:rsidR="002F5C5A" w:rsidRPr="00156D56" w:rsidRDefault="002F5C5A" w:rsidP="002F5C5A">
      <w:pPr>
        <w:spacing w:after="60"/>
        <w:ind w:left="1800"/>
        <w:jc w:val="both"/>
        <w:rPr>
          <w:rFonts w:ascii="Arial" w:hAnsi="Arial" w:cs="Arial"/>
          <w:b/>
          <w:sz w:val="22"/>
          <w:szCs w:val="22"/>
        </w:rPr>
      </w:pPr>
    </w:p>
    <w:p w14:paraId="36C866F6" w14:textId="77777777" w:rsidR="002F5C5A" w:rsidRPr="00156D56" w:rsidRDefault="002F5C5A" w:rsidP="002F5C5A">
      <w:pPr>
        <w:spacing w:after="60"/>
        <w:ind w:left="1800"/>
        <w:jc w:val="both"/>
        <w:rPr>
          <w:rFonts w:ascii="Arial" w:hAnsi="Arial" w:cs="Arial"/>
          <w:sz w:val="22"/>
          <w:szCs w:val="22"/>
        </w:rPr>
      </w:pPr>
    </w:p>
    <w:p w14:paraId="4122AE21"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Los demás envases primarios deberán indicar la siguiente información:</w:t>
      </w:r>
    </w:p>
    <w:p w14:paraId="6A7EFBC1" w14:textId="77777777" w:rsidR="002F5C5A" w:rsidRPr="00156D56" w:rsidRDefault="002F5C5A" w:rsidP="002F5C5A">
      <w:pPr>
        <w:spacing w:after="60"/>
        <w:jc w:val="both"/>
        <w:rPr>
          <w:rFonts w:ascii="Arial" w:hAnsi="Arial" w:cs="Arial"/>
          <w:sz w:val="22"/>
          <w:szCs w:val="22"/>
        </w:rPr>
      </w:pPr>
    </w:p>
    <w:p w14:paraId="248D1E2A"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Nombre comercial si lo tiene</w:t>
      </w:r>
    </w:p>
    <w:p w14:paraId="54CAFF2F"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lastRenderedPageBreak/>
        <w:t>Nombre genérico del producto y/o D.C.I. (Denominación Común Internacional).</w:t>
      </w:r>
    </w:p>
    <w:p w14:paraId="0AAC8452"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Forma farmacéutica</w:t>
      </w:r>
    </w:p>
    <w:p w14:paraId="175CF3E4"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 xml:space="preserve">Concentración (relación de principios activos con indicación de la cantidad de cada uno, cuando corresponda) </w:t>
      </w:r>
    </w:p>
    <w:p w14:paraId="64052AD9"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 xml:space="preserve">Contenido neto (número de comprimidos, peso o volumen), </w:t>
      </w:r>
    </w:p>
    <w:p w14:paraId="3549A970"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Número de lote</w:t>
      </w:r>
    </w:p>
    <w:p w14:paraId="65F60906"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Fecha de vencimiento no codificada</w:t>
      </w:r>
    </w:p>
    <w:p w14:paraId="2AC51521"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Condiciones especiales de almacenamiento o manipulación que pudieran ser necesarias cuando corresponda</w:t>
      </w:r>
    </w:p>
    <w:p w14:paraId="65C866AE"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 xml:space="preserve">Indicaciones de uso que pudieran ser necesarias, </w:t>
      </w:r>
    </w:p>
    <w:p w14:paraId="54181D4B"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Nombre del fabricante</w:t>
      </w:r>
    </w:p>
    <w:p w14:paraId="3C28984B" w14:textId="77777777" w:rsidR="002F5C5A" w:rsidRPr="00156D56" w:rsidRDefault="002F5C5A" w:rsidP="002F5C5A">
      <w:pPr>
        <w:numPr>
          <w:ilvl w:val="0"/>
          <w:numId w:val="11"/>
        </w:numPr>
        <w:spacing w:after="60"/>
        <w:ind w:left="1800"/>
        <w:jc w:val="both"/>
        <w:rPr>
          <w:rFonts w:ascii="Arial" w:hAnsi="Arial" w:cs="Arial"/>
          <w:sz w:val="22"/>
          <w:szCs w:val="22"/>
        </w:rPr>
      </w:pPr>
      <w:r w:rsidRPr="00156D56">
        <w:rPr>
          <w:rFonts w:ascii="Arial" w:hAnsi="Arial" w:cs="Arial"/>
          <w:sz w:val="22"/>
          <w:szCs w:val="22"/>
        </w:rPr>
        <w:t>Procedencia</w:t>
      </w:r>
    </w:p>
    <w:p w14:paraId="7C674B1C" w14:textId="77777777" w:rsidR="002F5C5A" w:rsidRPr="00156D56" w:rsidRDefault="002F5C5A" w:rsidP="002F5C5A">
      <w:pPr>
        <w:spacing w:after="60"/>
        <w:ind w:left="1440"/>
        <w:jc w:val="both"/>
        <w:rPr>
          <w:rFonts w:ascii="Arial" w:hAnsi="Arial" w:cs="Arial"/>
          <w:b/>
          <w:sz w:val="22"/>
          <w:szCs w:val="22"/>
        </w:rPr>
      </w:pPr>
    </w:p>
    <w:p w14:paraId="21B97785" w14:textId="77777777" w:rsidR="002F5C5A" w:rsidRPr="00156D56" w:rsidRDefault="002F5C5A" w:rsidP="002F5C5A">
      <w:pPr>
        <w:spacing w:after="60"/>
        <w:ind w:left="1440"/>
        <w:jc w:val="both"/>
        <w:rPr>
          <w:rFonts w:ascii="Arial" w:hAnsi="Arial" w:cs="Arial"/>
          <w:sz w:val="22"/>
          <w:szCs w:val="22"/>
        </w:rPr>
      </w:pPr>
    </w:p>
    <w:p w14:paraId="632AF704"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2533C28" w14:textId="77777777" w:rsidR="002F5C5A" w:rsidRPr="00156D56" w:rsidRDefault="002F5C5A" w:rsidP="002F5C5A">
      <w:pPr>
        <w:tabs>
          <w:tab w:val="num" w:pos="6480"/>
        </w:tabs>
        <w:spacing w:after="60"/>
        <w:ind w:left="900"/>
        <w:jc w:val="both"/>
        <w:rPr>
          <w:rFonts w:ascii="Arial" w:hAnsi="Arial" w:cs="Arial"/>
          <w:sz w:val="22"/>
          <w:szCs w:val="22"/>
        </w:rPr>
      </w:pPr>
    </w:p>
    <w:p w14:paraId="4E378CFE"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Los jarabes y las suspensiones orales deben incluir indefectiblemente envase secundario y sus respectivos dosificadores.</w:t>
      </w:r>
    </w:p>
    <w:p w14:paraId="4428CA89" w14:textId="77777777" w:rsidR="002F5C5A" w:rsidRPr="00156D56" w:rsidRDefault="002F5C5A" w:rsidP="002F5C5A">
      <w:pPr>
        <w:tabs>
          <w:tab w:val="num" w:pos="6480"/>
        </w:tabs>
        <w:spacing w:after="60"/>
        <w:ind w:left="900"/>
        <w:jc w:val="both"/>
        <w:rPr>
          <w:rFonts w:ascii="Arial" w:hAnsi="Arial" w:cs="Arial"/>
          <w:sz w:val="22"/>
          <w:szCs w:val="22"/>
        </w:rPr>
      </w:pPr>
    </w:p>
    <w:p w14:paraId="6BEEC794" w14:textId="12312F85"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En los envases primarios, secundarios y empaques de los medicamentos deben llevar indefectiblemente impreso el </w:t>
      </w:r>
      <w:r w:rsidRPr="00156D56">
        <w:rPr>
          <w:rFonts w:ascii="Arial" w:hAnsi="Arial" w:cs="Arial"/>
          <w:b/>
          <w:sz w:val="22"/>
          <w:szCs w:val="22"/>
        </w:rPr>
        <w:t>N° de Registro Sanitario en Bolivia vigente.</w:t>
      </w:r>
    </w:p>
    <w:p w14:paraId="426B627D" w14:textId="77777777" w:rsidR="002F5C5A" w:rsidRPr="00156D56" w:rsidRDefault="002F5C5A" w:rsidP="002F5C5A">
      <w:pPr>
        <w:spacing w:after="60"/>
        <w:jc w:val="both"/>
        <w:rPr>
          <w:rFonts w:ascii="Arial" w:hAnsi="Arial" w:cs="Arial"/>
          <w:b/>
          <w:bCs/>
          <w:sz w:val="22"/>
          <w:szCs w:val="22"/>
        </w:rPr>
      </w:pPr>
    </w:p>
    <w:p w14:paraId="2CAE3AA4" w14:textId="68B8C6DC" w:rsidR="002F5C5A" w:rsidRPr="003755DC" w:rsidRDefault="002F5C5A" w:rsidP="003755DC">
      <w:pPr>
        <w:pStyle w:val="Prrafodelista"/>
        <w:numPr>
          <w:ilvl w:val="0"/>
          <w:numId w:val="20"/>
        </w:numPr>
        <w:spacing w:after="60"/>
        <w:jc w:val="both"/>
        <w:rPr>
          <w:rFonts w:ascii="Arial" w:hAnsi="Arial" w:cs="Arial"/>
          <w:b/>
          <w:bCs/>
        </w:rPr>
      </w:pPr>
      <w:r w:rsidRPr="003755DC">
        <w:rPr>
          <w:rFonts w:ascii="Arial" w:hAnsi="Arial" w:cs="Arial"/>
          <w:b/>
          <w:bCs/>
        </w:rPr>
        <w:t>EMPAQUE</w:t>
      </w:r>
    </w:p>
    <w:p w14:paraId="330C6844"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Los empaques en que los proveedores entreguen los productos deberán corresponder exactamente a los señalados en la propuesta técnica.</w:t>
      </w:r>
    </w:p>
    <w:p w14:paraId="7E08C580"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Por empaque se entiende aquel recipiente que contiene uno o varios envases.</w:t>
      </w:r>
    </w:p>
    <w:p w14:paraId="318DC6AC" w14:textId="380E286A"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Los empaques deben ser de caja de cartón, cartulina o plástico </w:t>
      </w:r>
      <w:r w:rsidR="007E31EB" w:rsidRPr="00156D56">
        <w:rPr>
          <w:rFonts w:ascii="Arial" w:hAnsi="Arial" w:cs="Arial"/>
          <w:sz w:val="22"/>
          <w:szCs w:val="22"/>
        </w:rPr>
        <w:t>termo encogible</w:t>
      </w:r>
      <w:r w:rsidRPr="00156D56">
        <w:rPr>
          <w:rFonts w:ascii="Arial" w:hAnsi="Arial" w:cs="Arial"/>
          <w:sz w:val="22"/>
          <w:szCs w:val="22"/>
        </w:rPr>
        <w:t xml:space="preserve"> de calidad adecuada para proteger el producto en las condiciones de temperatura y humedad del país.</w:t>
      </w:r>
    </w:p>
    <w:p w14:paraId="270B8209"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El tipo y material de los empaques deberá ser de naturaleza tal que aseguren la conservación y estabilidad del producto durante su vida útil.</w:t>
      </w:r>
    </w:p>
    <w:p w14:paraId="7F886D08"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Para los sólidos orales, vaginales y rectales, la cantidad de unidades por empaque no será mayor de 100 unidades </w:t>
      </w:r>
      <w:r w:rsidRPr="00156D56">
        <w:rPr>
          <w:rFonts w:ascii="Arial" w:hAnsi="Arial" w:cs="Arial"/>
          <w:sz w:val="22"/>
          <w:szCs w:val="22"/>
          <w:u w:val="single"/>
        </w:rPr>
        <w:t>de preferencia</w:t>
      </w:r>
      <w:r w:rsidRPr="00156D56">
        <w:rPr>
          <w:rFonts w:ascii="Arial" w:hAnsi="Arial" w:cs="Arial"/>
          <w:sz w:val="22"/>
          <w:szCs w:val="22"/>
        </w:rPr>
        <w:t>.</w:t>
      </w:r>
    </w:p>
    <w:p w14:paraId="2FCBBCF9"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Para soluciones inyectables y soluciones oftálmicas, la cantidad de unidades por empaque no será mayor de 50. </w:t>
      </w:r>
      <w:r w:rsidRPr="00156D56">
        <w:rPr>
          <w:rFonts w:ascii="Arial" w:hAnsi="Arial" w:cs="Arial"/>
          <w:sz w:val="22"/>
          <w:szCs w:val="22"/>
          <w:u w:val="single"/>
        </w:rPr>
        <w:t>de preferencia</w:t>
      </w:r>
    </w:p>
    <w:p w14:paraId="361D7A0B"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Las cremas deben presentarse en empaque individual.</w:t>
      </w:r>
    </w:p>
    <w:p w14:paraId="23DFCCD1" w14:textId="318552F8"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Para los inhaladores en general el producto debe llevar un inserto el cual incluya información acerca de la forma de administración.  </w:t>
      </w:r>
    </w:p>
    <w:p w14:paraId="5BC13914"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Todos los empaques deberán contener información en rótulo o leyenda que señale como mínimo:</w:t>
      </w:r>
    </w:p>
    <w:p w14:paraId="1EB7953A"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Nombre comercial si lo tiene</w:t>
      </w:r>
    </w:p>
    <w:p w14:paraId="03E48733"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lastRenderedPageBreak/>
        <w:t>Nombre genérico del producto y/o D.C.I. (Denominación Común Internacional).</w:t>
      </w:r>
    </w:p>
    <w:p w14:paraId="71235AAF"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Forma farmacéutica</w:t>
      </w:r>
    </w:p>
    <w:p w14:paraId="745ADD63"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 xml:space="preserve">Concentración (relación de principios activos con indicación de la cantidad de cada uno cuando corresponda) </w:t>
      </w:r>
    </w:p>
    <w:p w14:paraId="5CEC1BDE"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 xml:space="preserve">Contenido neto (número de comprimidos, peso o volumen), </w:t>
      </w:r>
    </w:p>
    <w:p w14:paraId="68F60C0E"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Número de lote (uno por empaque)</w:t>
      </w:r>
    </w:p>
    <w:p w14:paraId="42397151"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Fecha de vencimiento no codificada</w:t>
      </w:r>
    </w:p>
    <w:p w14:paraId="30BD1069"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Condiciones especiales de almacenamiento o manipulación que pudieran ser necesarias cuando corresponda</w:t>
      </w:r>
    </w:p>
    <w:p w14:paraId="602B59C5"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Indicaciones de uso que pudieran ser necesarias</w:t>
      </w:r>
    </w:p>
    <w:p w14:paraId="7A1FBB4C"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Número de Registro Sanitario vigente en Bolivia</w:t>
      </w:r>
    </w:p>
    <w:p w14:paraId="2E613F8E"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Nombre y dirección del fabricante</w:t>
      </w:r>
    </w:p>
    <w:p w14:paraId="63D0089E"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Representante para Bolivia</w:t>
      </w:r>
    </w:p>
    <w:p w14:paraId="3EE79407" w14:textId="77777777" w:rsidR="002F5C5A" w:rsidRPr="00156D56" w:rsidRDefault="002F5C5A" w:rsidP="002F5C5A">
      <w:pPr>
        <w:numPr>
          <w:ilvl w:val="0"/>
          <w:numId w:val="12"/>
        </w:numPr>
        <w:spacing w:after="60"/>
        <w:ind w:left="1800"/>
        <w:jc w:val="both"/>
        <w:rPr>
          <w:rFonts w:ascii="Arial" w:hAnsi="Arial" w:cs="Arial"/>
          <w:sz w:val="22"/>
          <w:szCs w:val="22"/>
        </w:rPr>
      </w:pPr>
      <w:r w:rsidRPr="00156D56">
        <w:rPr>
          <w:rFonts w:ascii="Arial" w:hAnsi="Arial" w:cs="Arial"/>
          <w:sz w:val="22"/>
          <w:szCs w:val="22"/>
        </w:rPr>
        <w:t>N° de envases</w:t>
      </w:r>
    </w:p>
    <w:p w14:paraId="5526A955" w14:textId="77777777" w:rsidR="002F5C5A" w:rsidRPr="00156D56" w:rsidRDefault="002F5C5A" w:rsidP="002F5C5A">
      <w:pPr>
        <w:spacing w:after="60"/>
        <w:jc w:val="both"/>
        <w:rPr>
          <w:rFonts w:ascii="Arial" w:hAnsi="Arial" w:cs="Arial"/>
          <w:sz w:val="22"/>
          <w:szCs w:val="22"/>
        </w:rPr>
      </w:pPr>
    </w:p>
    <w:p w14:paraId="473B0515" w14:textId="7724C55F" w:rsidR="002F5C5A" w:rsidRPr="003755DC" w:rsidRDefault="002F5C5A" w:rsidP="003755DC">
      <w:pPr>
        <w:pStyle w:val="Prrafodelista"/>
        <w:numPr>
          <w:ilvl w:val="0"/>
          <w:numId w:val="20"/>
        </w:numPr>
        <w:spacing w:after="60"/>
        <w:jc w:val="both"/>
        <w:rPr>
          <w:rFonts w:ascii="Arial" w:hAnsi="Arial" w:cs="Arial"/>
          <w:b/>
          <w:bCs/>
        </w:rPr>
      </w:pPr>
      <w:r w:rsidRPr="003755DC">
        <w:rPr>
          <w:rFonts w:ascii="Arial" w:hAnsi="Arial" w:cs="Arial"/>
          <w:b/>
          <w:bCs/>
        </w:rPr>
        <w:t>EMBALAJE</w:t>
      </w:r>
    </w:p>
    <w:p w14:paraId="3E3EE35A"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Se entiende por embalaje el recipiente que contiene varios empaques para transporte y almacenamiento</w:t>
      </w:r>
    </w:p>
    <w:p w14:paraId="0DA4BCAE" w14:textId="67F64223"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Los embalajes deben ser en caja de cartón o nevera según la naturaleza del producto.</w:t>
      </w:r>
    </w:p>
    <w:p w14:paraId="03E70F8B" w14:textId="77777777" w:rsidR="002F5C5A" w:rsidRPr="00156D56" w:rsidRDefault="002F5C5A" w:rsidP="002F5C5A">
      <w:pPr>
        <w:tabs>
          <w:tab w:val="num" w:pos="6480"/>
        </w:tabs>
        <w:spacing w:after="60"/>
        <w:ind w:left="900"/>
        <w:jc w:val="both"/>
        <w:rPr>
          <w:rFonts w:ascii="Arial" w:hAnsi="Arial" w:cs="Arial"/>
          <w:sz w:val="22"/>
          <w:szCs w:val="22"/>
        </w:rPr>
      </w:pPr>
    </w:p>
    <w:p w14:paraId="524C010A"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La cantidad debe ser tal que garantice la calidad del producto y facilite su manipulación durante el almacenamiento, distribución y despacho, sin riesgo de daño por la presión interna del contenido.</w:t>
      </w:r>
    </w:p>
    <w:p w14:paraId="48D0C9A7" w14:textId="77777777" w:rsidR="002F5C5A" w:rsidRPr="00156D56" w:rsidRDefault="002F5C5A" w:rsidP="002F5C5A">
      <w:pPr>
        <w:tabs>
          <w:tab w:val="num" w:pos="6480"/>
        </w:tabs>
        <w:spacing w:after="60"/>
        <w:ind w:left="900"/>
        <w:jc w:val="both"/>
        <w:rPr>
          <w:rFonts w:ascii="Arial" w:hAnsi="Arial" w:cs="Arial"/>
          <w:sz w:val="22"/>
          <w:szCs w:val="22"/>
        </w:rPr>
      </w:pPr>
    </w:p>
    <w:p w14:paraId="0CD4F086"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El número de envases y empaques debe ser uniforme en cada embalaje.  </w:t>
      </w:r>
    </w:p>
    <w:p w14:paraId="601C0AE3" w14:textId="77777777" w:rsidR="002F5C5A" w:rsidRPr="00156D56" w:rsidRDefault="002F5C5A" w:rsidP="002F5C5A">
      <w:pPr>
        <w:tabs>
          <w:tab w:val="num" w:pos="6480"/>
        </w:tabs>
        <w:spacing w:after="60"/>
        <w:ind w:left="900"/>
        <w:jc w:val="both"/>
        <w:rPr>
          <w:rFonts w:ascii="Arial" w:hAnsi="Arial" w:cs="Arial"/>
          <w:sz w:val="22"/>
          <w:szCs w:val="22"/>
        </w:rPr>
      </w:pPr>
    </w:p>
    <w:p w14:paraId="2EDA87DF"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Cada embalaje entregado será numerado y tendrá que llevar en forma clara bajo pena de rechazo de la mercadería, las siguientes indicaciones:  </w:t>
      </w:r>
    </w:p>
    <w:p w14:paraId="109B54F3" w14:textId="77777777" w:rsidR="002F5C5A" w:rsidRPr="00156D56" w:rsidRDefault="002F5C5A" w:rsidP="002F5C5A">
      <w:pPr>
        <w:numPr>
          <w:ilvl w:val="0"/>
          <w:numId w:val="13"/>
        </w:numPr>
        <w:spacing w:after="60"/>
        <w:ind w:left="1800"/>
        <w:jc w:val="both"/>
        <w:rPr>
          <w:rFonts w:ascii="Arial" w:hAnsi="Arial" w:cs="Arial"/>
          <w:sz w:val="22"/>
          <w:szCs w:val="22"/>
        </w:rPr>
      </w:pPr>
      <w:r w:rsidRPr="00156D56">
        <w:rPr>
          <w:rFonts w:ascii="Arial" w:hAnsi="Arial" w:cs="Arial"/>
          <w:sz w:val="22"/>
          <w:szCs w:val="22"/>
        </w:rPr>
        <w:t>Nombre comercial si lo tiene</w:t>
      </w:r>
    </w:p>
    <w:p w14:paraId="3216A713" w14:textId="77777777" w:rsidR="002F5C5A" w:rsidRPr="00156D56" w:rsidRDefault="002F5C5A" w:rsidP="002F5C5A">
      <w:pPr>
        <w:numPr>
          <w:ilvl w:val="0"/>
          <w:numId w:val="13"/>
        </w:numPr>
        <w:spacing w:after="60"/>
        <w:ind w:left="1800"/>
        <w:jc w:val="both"/>
        <w:rPr>
          <w:rFonts w:ascii="Arial" w:hAnsi="Arial" w:cs="Arial"/>
          <w:sz w:val="22"/>
          <w:szCs w:val="22"/>
        </w:rPr>
      </w:pPr>
      <w:r w:rsidRPr="00156D56">
        <w:rPr>
          <w:rFonts w:ascii="Arial" w:hAnsi="Arial" w:cs="Arial"/>
          <w:sz w:val="22"/>
          <w:szCs w:val="22"/>
        </w:rPr>
        <w:t>Nombre genérico del producto y/o D.C.I. (Denominación Común Internacional).</w:t>
      </w:r>
    </w:p>
    <w:p w14:paraId="2A14519B" w14:textId="77777777" w:rsidR="002F5C5A" w:rsidRPr="00156D56" w:rsidRDefault="002F5C5A" w:rsidP="002F5C5A">
      <w:pPr>
        <w:numPr>
          <w:ilvl w:val="0"/>
          <w:numId w:val="13"/>
        </w:numPr>
        <w:spacing w:after="60"/>
        <w:ind w:left="1800"/>
        <w:jc w:val="both"/>
        <w:rPr>
          <w:rFonts w:ascii="Arial" w:hAnsi="Arial" w:cs="Arial"/>
          <w:sz w:val="22"/>
          <w:szCs w:val="22"/>
        </w:rPr>
      </w:pPr>
      <w:r w:rsidRPr="00156D56">
        <w:rPr>
          <w:rFonts w:ascii="Arial" w:hAnsi="Arial" w:cs="Arial"/>
          <w:sz w:val="22"/>
          <w:szCs w:val="22"/>
        </w:rPr>
        <w:t>Forma farmacéutica</w:t>
      </w:r>
    </w:p>
    <w:p w14:paraId="688B68A5" w14:textId="77777777" w:rsidR="002F5C5A" w:rsidRPr="00156D56" w:rsidRDefault="002F5C5A" w:rsidP="002F5C5A">
      <w:pPr>
        <w:numPr>
          <w:ilvl w:val="0"/>
          <w:numId w:val="13"/>
        </w:numPr>
        <w:spacing w:after="60"/>
        <w:ind w:left="1800"/>
        <w:jc w:val="both"/>
        <w:rPr>
          <w:rFonts w:ascii="Arial" w:hAnsi="Arial" w:cs="Arial"/>
          <w:sz w:val="22"/>
          <w:szCs w:val="22"/>
        </w:rPr>
      </w:pPr>
      <w:r w:rsidRPr="00156D56">
        <w:rPr>
          <w:rFonts w:ascii="Arial" w:hAnsi="Arial" w:cs="Arial"/>
          <w:sz w:val="22"/>
          <w:szCs w:val="22"/>
        </w:rPr>
        <w:t xml:space="preserve">Concentración (relación de principios activos con indicación de la cantidad de cada uno cuando corresponda) </w:t>
      </w:r>
    </w:p>
    <w:p w14:paraId="473A6AC4" w14:textId="77777777" w:rsidR="002F5C5A" w:rsidRPr="00156D56" w:rsidRDefault="002F5C5A" w:rsidP="002F5C5A">
      <w:pPr>
        <w:numPr>
          <w:ilvl w:val="0"/>
          <w:numId w:val="13"/>
        </w:numPr>
        <w:spacing w:after="60"/>
        <w:ind w:left="1800"/>
        <w:jc w:val="both"/>
        <w:rPr>
          <w:rFonts w:ascii="Arial" w:hAnsi="Arial" w:cs="Arial"/>
          <w:sz w:val="22"/>
          <w:szCs w:val="22"/>
        </w:rPr>
      </w:pPr>
      <w:r w:rsidRPr="00156D56">
        <w:rPr>
          <w:rFonts w:ascii="Arial" w:hAnsi="Arial" w:cs="Arial"/>
          <w:sz w:val="22"/>
          <w:szCs w:val="22"/>
        </w:rPr>
        <w:t>Número de lote</w:t>
      </w:r>
    </w:p>
    <w:p w14:paraId="271EBF77" w14:textId="77777777" w:rsidR="002F5C5A" w:rsidRPr="00156D56" w:rsidRDefault="002F5C5A" w:rsidP="002F5C5A">
      <w:pPr>
        <w:numPr>
          <w:ilvl w:val="0"/>
          <w:numId w:val="13"/>
        </w:numPr>
        <w:spacing w:after="60"/>
        <w:ind w:left="1800"/>
        <w:jc w:val="both"/>
        <w:rPr>
          <w:rFonts w:ascii="Arial" w:hAnsi="Arial" w:cs="Arial"/>
          <w:sz w:val="22"/>
          <w:szCs w:val="22"/>
        </w:rPr>
      </w:pPr>
      <w:r w:rsidRPr="00156D56">
        <w:rPr>
          <w:rFonts w:ascii="Arial" w:hAnsi="Arial" w:cs="Arial"/>
          <w:sz w:val="22"/>
          <w:szCs w:val="22"/>
        </w:rPr>
        <w:t>Fecha de vencimiento no codificada</w:t>
      </w:r>
    </w:p>
    <w:p w14:paraId="61A3FF09" w14:textId="77777777" w:rsidR="002F5C5A" w:rsidRPr="00156D56" w:rsidRDefault="002F5C5A" w:rsidP="002F5C5A">
      <w:pPr>
        <w:numPr>
          <w:ilvl w:val="0"/>
          <w:numId w:val="13"/>
        </w:numPr>
        <w:spacing w:after="60"/>
        <w:ind w:left="1800"/>
        <w:jc w:val="both"/>
        <w:rPr>
          <w:rFonts w:ascii="Arial" w:hAnsi="Arial" w:cs="Arial"/>
          <w:sz w:val="22"/>
          <w:szCs w:val="22"/>
        </w:rPr>
      </w:pPr>
      <w:r w:rsidRPr="00156D56">
        <w:rPr>
          <w:rFonts w:ascii="Arial" w:hAnsi="Arial" w:cs="Arial"/>
          <w:sz w:val="22"/>
          <w:szCs w:val="22"/>
        </w:rPr>
        <w:t>Condiciones especiales de almacenamiento o manipulación que pudieran ser necesarias cuando corresponda</w:t>
      </w:r>
    </w:p>
    <w:p w14:paraId="6B7BEF0F" w14:textId="77777777" w:rsidR="002F5C5A" w:rsidRPr="00156D56" w:rsidRDefault="002F5C5A" w:rsidP="002F5C5A">
      <w:pPr>
        <w:numPr>
          <w:ilvl w:val="0"/>
          <w:numId w:val="13"/>
        </w:numPr>
        <w:spacing w:after="60"/>
        <w:ind w:left="1800"/>
        <w:jc w:val="both"/>
        <w:rPr>
          <w:rFonts w:ascii="Arial" w:hAnsi="Arial" w:cs="Arial"/>
          <w:sz w:val="22"/>
          <w:szCs w:val="22"/>
        </w:rPr>
      </w:pPr>
      <w:r w:rsidRPr="00156D56">
        <w:rPr>
          <w:rFonts w:ascii="Arial" w:hAnsi="Arial" w:cs="Arial"/>
          <w:sz w:val="22"/>
          <w:szCs w:val="22"/>
        </w:rPr>
        <w:t>Nombre del o los fabricantes y del proveedor.</w:t>
      </w:r>
    </w:p>
    <w:p w14:paraId="0C8EF6C8" w14:textId="77777777" w:rsidR="002F5C5A" w:rsidRPr="00156D56" w:rsidRDefault="002F5C5A" w:rsidP="002F5C5A">
      <w:pPr>
        <w:numPr>
          <w:ilvl w:val="0"/>
          <w:numId w:val="13"/>
        </w:numPr>
        <w:spacing w:after="60"/>
        <w:ind w:left="1800"/>
        <w:jc w:val="both"/>
        <w:rPr>
          <w:rFonts w:ascii="Arial" w:hAnsi="Arial" w:cs="Arial"/>
          <w:sz w:val="22"/>
          <w:szCs w:val="22"/>
        </w:rPr>
      </w:pPr>
      <w:r w:rsidRPr="00156D56">
        <w:rPr>
          <w:rFonts w:ascii="Arial" w:hAnsi="Arial" w:cs="Arial"/>
          <w:sz w:val="22"/>
          <w:szCs w:val="22"/>
        </w:rPr>
        <w:t xml:space="preserve">Cantidad de unidades del producto contenido en el embalaje </w:t>
      </w:r>
    </w:p>
    <w:p w14:paraId="639E1286" w14:textId="77777777" w:rsidR="002F5C5A" w:rsidRPr="00156D56" w:rsidRDefault="002F5C5A" w:rsidP="002F5C5A">
      <w:pPr>
        <w:tabs>
          <w:tab w:val="num" w:pos="6480"/>
        </w:tabs>
        <w:spacing w:after="60"/>
        <w:ind w:left="900"/>
        <w:jc w:val="both"/>
        <w:rPr>
          <w:rFonts w:ascii="Arial" w:hAnsi="Arial" w:cs="Arial"/>
          <w:sz w:val="22"/>
          <w:szCs w:val="22"/>
        </w:rPr>
      </w:pPr>
    </w:p>
    <w:p w14:paraId="42397D8A"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 xml:space="preserve">Los proponentes garantizarán la resistencia del embalaje a las condiciones climáticas, manipuleo, almacenamiento y traslados en condiciones normales, </w:t>
      </w:r>
      <w:r w:rsidRPr="00156D56">
        <w:rPr>
          <w:rFonts w:ascii="Arial" w:hAnsi="Arial" w:cs="Arial"/>
          <w:sz w:val="22"/>
          <w:szCs w:val="22"/>
        </w:rPr>
        <w:lastRenderedPageBreak/>
        <w:t>teniendo en cuenta su fragilidad, debiendo cada embalaje señalar las características específicas de resistencia y manipuleo.</w:t>
      </w:r>
    </w:p>
    <w:p w14:paraId="3291EF53" w14:textId="77777777" w:rsidR="002F5C5A" w:rsidRPr="00156D56" w:rsidRDefault="002F5C5A" w:rsidP="002F5C5A">
      <w:pPr>
        <w:tabs>
          <w:tab w:val="num" w:pos="6480"/>
        </w:tabs>
        <w:spacing w:after="60"/>
        <w:ind w:left="900"/>
        <w:jc w:val="both"/>
        <w:rPr>
          <w:rFonts w:ascii="Arial" w:hAnsi="Arial" w:cs="Arial"/>
          <w:sz w:val="22"/>
          <w:szCs w:val="22"/>
        </w:rPr>
      </w:pPr>
    </w:p>
    <w:p w14:paraId="239714FA" w14:textId="77777777" w:rsidR="002F5C5A" w:rsidRPr="00156D56" w:rsidRDefault="002F5C5A" w:rsidP="002F5C5A">
      <w:pPr>
        <w:numPr>
          <w:ilvl w:val="1"/>
          <w:numId w:val="2"/>
        </w:numPr>
        <w:tabs>
          <w:tab w:val="num" w:pos="900"/>
        </w:tabs>
        <w:spacing w:after="60"/>
        <w:ind w:left="900" w:hanging="540"/>
        <w:jc w:val="both"/>
        <w:rPr>
          <w:rFonts w:ascii="Arial" w:hAnsi="Arial" w:cs="Arial"/>
          <w:sz w:val="22"/>
          <w:szCs w:val="22"/>
        </w:rPr>
      </w:pPr>
      <w:r w:rsidRPr="00156D56">
        <w:rPr>
          <w:rFonts w:ascii="Arial" w:hAnsi="Arial" w:cs="Arial"/>
          <w:sz w:val="22"/>
          <w:szCs w:val="22"/>
        </w:rPr>
        <w:t>Los medicamentos deben ser ofertados en embalajes que garanticen una buena conservación y los proteja adecuadamente de la contaminación</w:t>
      </w:r>
    </w:p>
    <w:p w14:paraId="760C7BC8" w14:textId="77777777" w:rsidR="002F5C5A" w:rsidRPr="00156D56" w:rsidRDefault="002F5C5A" w:rsidP="002F5C5A">
      <w:pPr>
        <w:tabs>
          <w:tab w:val="num" w:pos="6480"/>
        </w:tabs>
        <w:spacing w:after="60"/>
        <w:ind w:left="360"/>
        <w:jc w:val="both"/>
        <w:rPr>
          <w:rFonts w:ascii="Arial" w:hAnsi="Arial" w:cs="Arial"/>
          <w:sz w:val="22"/>
          <w:szCs w:val="22"/>
        </w:rPr>
      </w:pPr>
    </w:p>
    <w:p w14:paraId="57F59400" w14:textId="2689A628" w:rsidR="002F5C5A" w:rsidRPr="003755DC" w:rsidRDefault="002F5C5A" w:rsidP="003755DC">
      <w:pPr>
        <w:pStyle w:val="Prrafodelista"/>
        <w:numPr>
          <w:ilvl w:val="0"/>
          <w:numId w:val="20"/>
        </w:numPr>
        <w:spacing w:after="60"/>
        <w:jc w:val="both"/>
        <w:rPr>
          <w:rFonts w:ascii="Arial" w:hAnsi="Arial" w:cs="Arial"/>
          <w:b/>
          <w:bCs/>
        </w:rPr>
      </w:pPr>
      <w:r w:rsidRPr="003755DC">
        <w:rPr>
          <w:rFonts w:ascii="Arial" w:hAnsi="Arial" w:cs="Arial"/>
          <w:b/>
          <w:bCs/>
        </w:rPr>
        <w:t>VIDA ÚTIL - PERIODO DE VALIDEZ</w:t>
      </w:r>
    </w:p>
    <w:p w14:paraId="033BB705" w14:textId="77777777" w:rsidR="002F5C5A" w:rsidRPr="00156D56" w:rsidRDefault="002F5C5A" w:rsidP="002F5C5A">
      <w:pPr>
        <w:spacing w:after="60"/>
        <w:jc w:val="both"/>
        <w:rPr>
          <w:rFonts w:ascii="Arial" w:hAnsi="Arial" w:cs="Arial"/>
          <w:b/>
          <w:bCs/>
          <w:sz w:val="22"/>
          <w:szCs w:val="22"/>
        </w:rPr>
      </w:pPr>
    </w:p>
    <w:p w14:paraId="24E8E753" w14:textId="77777777" w:rsidR="002F5C5A" w:rsidRPr="00156D56" w:rsidRDefault="002F5C5A" w:rsidP="00D9370F">
      <w:pPr>
        <w:numPr>
          <w:ilvl w:val="1"/>
          <w:numId w:val="19"/>
        </w:numPr>
        <w:tabs>
          <w:tab w:val="num" w:pos="6480"/>
        </w:tabs>
        <w:spacing w:after="60"/>
        <w:ind w:left="900" w:hanging="540"/>
        <w:jc w:val="both"/>
        <w:rPr>
          <w:rFonts w:ascii="Arial" w:hAnsi="Arial" w:cs="Arial"/>
          <w:sz w:val="22"/>
          <w:szCs w:val="22"/>
        </w:rPr>
      </w:pPr>
      <w:r w:rsidRPr="00156D56">
        <w:rPr>
          <w:rFonts w:ascii="Arial" w:hAnsi="Arial" w:cs="Arial"/>
          <w:sz w:val="22"/>
          <w:szCs w:val="22"/>
        </w:rPr>
        <w:t>Los productos farmacéuticos, biológicos y otros con periodo de vida útil mayor a 36 meses, no podrán tener el día de su recepción, una validez inferior a 24 meses, excepto si la orden de compra especifica como aceptable un plazo menor.</w:t>
      </w:r>
    </w:p>
    <w:p w14:paraId="15FF30F3" w14:textId="77777777" w:rsidR="002F5C5A" w:rsidRPr="00156D56" w:rsidRDefault="002F5C5A" w:rsidP="002F5C5A">
      <w:pPr>
        <w:tabs>
          <w:tab w:val="num" w:pos="6480"/>
        </w:tabs>
        <w:spacing w:after="60"/>
        <w:ind w:left="900"/>
        <w:jc w:val="both"/>
        <w:rPr>
          <w:rFonts w:ascii="Arial" w:hAnsi="Arial" w:cs="Arial"/>
          <w:sz w:val="22"/>
          <w:szCs w:val="22"/>
        </w:rPr>
      </w:pPr>
    </w:p>
    <w:p w14:paraId="7A05A3EE" w14:textId="561D6EEF" w:rsidR="002F5C5A" w:rsidRPr="00156D56" w:rsidRDefault="002F5C5A" w:rsidP="00D9370F">
      <w:pPr>
        <w:numPr>
          <w:ilvl w:val="1"/>
          <w:numId w:val="19"/>
        </w:numPr>
        <w:tabs>
          <w:tab w:val="num" w:pos="6480"/>
        </w:tabs>
        <w:spacing w:after="60"/>
        <w:ind w:left="900" w:hanging="540"/>
        <w:jc w:val="both"/>
        <w:rPr>
          <w:rFonts w:ascii="Arial" w:hAnsi="Arial" w:cs="Arial"/>
          <w:sz w:val="22"/>
          <w:szCs w:val="22"/>
        </w:rPr>
      </w:pPr>
      <w:r w:rsidRPr="00156D56">
        <w:rPr>
          <w:rFonts w:ascii="Arial" w:hAnsi="Arial" w:cs="Arial"/>
          <w:sz w:val="22"/>
          <w:szCs w:val="22"/>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r w:rsidR="00BB000B" w:rsidRPr="00156D56">
        <w:rPr>
          <w:rFonts w:ascii="Arial" w:hAnsi="Arial" w:cs="Arial"/>
          <w:sz w:val="22"/>
          <w:szCs w:val="22"/>
        </w:rPr>
        <w:t xml:space="preserve"> </w:t>
      </w:r>
    </w:p>
    <w:sectPr w:rsidR="002F5C5A" w:rsidRPr="00156D56" w:rsidSect="00946334">
      <w:headerReference w:type="default" r:id="rId8"/>
      <w:footerReference w:type="default" r:id="rId9"/>
      <w:pgSz w:w="11906" w:h="16838"/>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9A6E" w14:textId="77777777" w:rsidR="001E74E5" w:rsidRDefault="001E74E5" w:rsidP="00946334">
      <w:r>
        <w:separator/>
      </w:r>
    </w:p>
  </w:endnote>
  <w:endnote w:type="continuationSeparator" w:id="0">
    <w:p w14:paraId="0583EB64" w14:textId="77777777" w:rsidR="001E74E5" w:rsidRDefault="001E74E5" w:rsidP="0094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40E4" w14:textId="77777777" w:rsidR="002F5C5A" w:rsidRDefault="002F5C5A" w:rsidP="00946334">
    <w:pPr>
      <w:pStyle w:val="Piedepgina"/>
      <w:tabs>
        <w:tab w:val="center" w:pos="4420"/>
        <w:tab w:val="right" w:pos="8840"/>
      </w:tabs>
      <w:jc w:val="right"/>
      <w:rPr>
        <w:rFonts w:ascii="Century Gothic" w:hAnsi="Century Gothic"/>
        <w:color w:val="808080" w:themeColor="background1" w:themeShade="80"/>
        <w:sz w:val="14"/>
        <w:szCs w:val="14"/>
      </w:rPr>
    </w:pPr>
  </w:p>
  <w:p w14:paraId="79ACF8AC" w14:textId="17E7EA82" w:rsidR="002F5C5A" w:rsidRPr="00946334" w:rsidRDefault="002F5C5A" w:rsidP="00946334">
    <w:pPr>
      <w:pStyle w:val="Piedepgina"/>
      <w:tabs>
        <w:tab w:val="center" w:pos="4420"/>
        <w:tab w:val="right" w:pos="8840"/>
      </w:tabs>
      <w:jc w:val="right"/>
      <w:rPr>
        <w:rFonts w:ascii="Century Gothic" w:hAnsi="Century Gothic"/>
        <w:color w:val="808080" w:themeColor="background1" w:themeShade="80"/>
        <w:sz w:val="14"/>
        <w:szCs w:val="14"/>
      </w:rPr>
    </w:pPr>
    <w:r>
      <w:rPr>
        <w:rFonts w:ascii="Century Gothic" w:hAnsi="Century Gothic"/>
        <w:noProof/>
        <w:color w:val="FFFFFF" w:themeColor="background1"/>
        <w:sz w:val="14"/>
        <w:szCs w:val="14"/>
        <w:lang w:val="es-BO" w:eastAsia="es-BO"/>
      </w:rPr>
      <mc:AlternateContent>
        <mc:Choice Requires="wps">
          <w:drawing>
            <wp:anchor distT="0" distB="0" distL="114300" distR="114300" simplePos="0" relativeHeight="251659264" behindDoc="0" locked="0" layoutInCell="1" allowOverlap="1" wp14:anchorId="3955A6FB" wp14:editId="51C0DBDA">
              <wp:simplePos x="0" y="0"/>
              <wp:positionH relativeFrom="column">
                <wp:posOffset>1110406</wp:posOffset>
              </wp:positionH>
              <wp:positionV relativeFrom="paragraph">
                <wp:posOffset>88223</wp:posOffset>
              </wp:positionV>
              <wp:extent cx="3154742" cy="19573"/>
              <wp:effectExtent l="0" t="0" r="26670" b="19050"/>
              <wp:wrapNone/>
              <wp:docPr id="3" name="Conector recto 3"/>
              <wp:cNvGraphicFramePr/>
              <a:graphic xmlns:a="http://schemas.openxmlformats.org/drawingml/2006/main">
                <a:graphicData uri="http://schemas.microsoft.com/office/word/2010/wordprocessingShape">
                  <wps:wsp>
                    <wps:cNvCnPr/>
                    <wps:spPr>
                      <a:xfrm>
                        <a:off x="0" y="0"/>
                        <a:ext cx="3154742" cy="19573"/>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904EA"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5pt,6.95pt" to="33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" strokecolor="#7f7f7f [1612]" strokeweight=".5pt">
              <v:stroke joinstyle="miter"/>
            </v:line>
          </w:pict>
        </mc:Fallback>
      </mc:AlternateContent>
    </w:r>
    <w:r w:rsidRPr="00946334">
      <w:rPr>
        <w:rFonts w:ascii="Century Gothic" w:hAnsi="Century Gothic"/>
        <w:color w:val="808080" w:themeColor="background1" w:themeShade="80"/>
        <w:sz w:val="14"/>
        <w:szCs w:val="14"/>
      </w:rPr>
      <w:t xml:space="preserve">Página </w:t>
    </w:r>
    <w:r w:rsidRPr="00946334">
      <w:rPr>
        <w:rFonts w:ascii="Century Gothic" w:hAnsi="Century Gothic"/>
        <w:b/>
        <w:color w:val="808080" w:themeColor="background1" w:themeShade="80"/>
        <w:sz w:val="14"/>
        <w:szCs w:val="14"/>
      </w:rPr>
      <w:fldChar w:fldCharType="begin"/>
    </w:r>
    <w:r w:rsidRPr="00946334">
      <w:rPr>
        <w:rFonts w:ascii="Century Gothic" w:hAnsi="Century Gothic"/>
        <w:b/>
        <w:color w:val="808080" w:themeColor="background1" w:themeShade="80"/>
        <w:sz w:val="14"/>
        <w:szCs w:val="14"/>
      </w:rPr>
      <w:instrText>PAGE</w:instrText>
    </w:r>
    <w:r w:rsidRPr="00946334">
      <w:rPr>
        <w:rFonts w:ascii="Century Gothic" w:hAnsi="Century Gothic"/>
        <w:b/>
        <w:color w:val="808080" w:themeColor="background1" w:themeShade="80"/>
        <w:sz w:val="14"/>
        <w:szCs w:val="14"/>
      </w:rPr>
      <w:fldChar w:fldCharType="separate"/>
    </w:r>
    <w:r w:rsidR="007F1BCD">
      <w:rPr>
        <w:rFonts w:ascii="Century Gothic" w:hAnsi="Century Gothic"/>
        <w:b/>
        <w:noProof/>
        <w:color w:val="808080" w:themeColor="background1" w:themeShade="80"/>
        <w:sz w:val="14"/>
        <w:szCs w:val="14"/>
      </w:rPr>
      <w:t>2</w:t>
    </w:r>
    <w:r w:rsidRPr="00946334">
      <w:rPr>
        <w:rFonts w:ascii="Century Gothic" w:hAnsi="Century Gothic"/>
        <w:b/>
        <w:color w:val="808080" w:themeColor="background1" w:themeShade="80"/>
        <w:sz w:val="14"/>
        <w:szCs w:val="14"/>
      </w:rPr>
      <w:fldChar w:fldCharType="end"/>
    </w:r>
    <w:r w:rsidRPr="00946334">
      <w:rPr>
        <w:rFonts w:ascii="Century Gothic" w:hAnsi="Century Gothic"/>
        <w:color w:val="808080" w:themeColor="background1" w:themeShade="80"/>
        <w:sz w:val="14"/>
        <w:szCs w:val="14"/>
      </w:rPr>
      <w:t xml:space="preserve"> de </w:t>
    </w:r>
    <w:r w:rsidRPr="00946334">
      <w:rPr>
        <w:rFonts w:ascii="Century Gothic" w:hAnsi="Century Gothic"/>
        <w:b/>
        <w:color w:val="808080" w:themeColor="background1" w:themeShade="80"/>
        <w:sz w:val="14"/>
        <w:szCs w:val="14"/>
      </w:rPr>
      <w:fldChar w:fldCharType="begin"/>
    </w:r>
    <w:r w:rsidRPr="00946334">
      <w:rPr>
        <w:rFonts w:ascii="Century Gothic" w:hAnsi="Century Gothic"/>
        <w:b/>
        <w:color w:val="808080" w:themeColor="background1" w:themeShade="80"/>
        <w:sz w:val="14"/>
        <w:szCs w:val="14"/>
      </w:rPr>
      <w:instrText>NUMPAGES</w:instrText>
    </w:r>
    <w:r w:rsidRPr="00946334">
      <w:rPr>
        <w:rFonts w:ascii="Century Gothic" w:hAnsi="Century Gothic"/>
        <w:b/>
        <w:color w:val="808080" w:themeColor="background1" w:themeShade="80"/>
        <w:sz w:val="14"/>
        <w:szCs w:val="14"/>
      </w:rPr>
      <w:fldChar w:fldCharType="separate"/>
    </w:r>
    <w:r w:rsidR="007F1BCD">
      <w:rPr>
        <w:rFonts w:ascii="Century Gothic" w:hAnsi="Century Gothic"/>
        <w:b/>
        <w:noProof/>
        <w:color w:val="808080" w:themeColor="background1" w:themeShade="80"/>
        <w:sz w:val="14"/>
        <w:szCs w:val="14"/>
      </w:rPr>
      <w:t>7</w:t>
    </w:r>
    <w:r w:rsidRPr="00946334">
      <w:rPr>
        <w:rFonts w:ascii="Century Gothic" w:hAnsi="Century Gothic"/>
        <w:b/>
        <w:color w:val="808080" w:themeColor="background1" w:themeShade="80"/>
        <w:sz w:val="14"/>
        <w:szCs w:val="14"/>
      </w:rPr>
      <w:fldChar w:fldCharType="end"/>
    </w:r>
  </w:p>
  <w:p w14:paraId="39EA97D2" w14:textId="2B01A894" w:rsidR="002F5C5A" w:rsidRPr="00946334" w:rsidRDefault="002F5C5A" w:rsidP="00946334">
    <w:pPr>
      <w:pStyle w:val="Piedepgina"/>
      <w:tabs>
        <w:tab w:val="center" w:pos="4420"/>
        <w:tab w:val="right" w:pos="8840"/>
      </w:tabs>
      <w:jc w:val="center"/>
      <w:rPr>
        <w:rFonts w:ascii="Century Gothic" w:hAnsi="Century Gothic"/>
        <w:color w:val="808080" w:themeColor="background1" w:themeShade="80"/>
        <w:sz w:val="14"/>
        <w:szCs w:val="14"/>
      </w:rPr>
    </w:pPr>
    <w:r w:rsidRPr="00946334">
      <w:rPr>
        <w:rFonts w:ascii="Century Gothic" w:hAnsi="Century Gothic"/>
        <w:color w:val="808080" w:themeColor="background1" w:themeShade="80"/>
        <w:sz w:val="20"/>
        <w:szCs w:val="20"/>
        <w:lang w:val="es-BO"/>
      </w:rPr>
      <w:t>Caja de Salud de la Banca Privada</w:t>
    </w:r>
  </w:p>
  <w:p w14:paraId="7E7450C8" w14:textId="2BC2793F" w:rsidR="002F5C5A" w:rsidRPr="00946334" w:rsidRDefault="002F5C5A" w:rsidP="00946334">
    <w:pPr>
      <w:pStyle w:val="Piedepgina"/>
      <w:jc w:val="center"/>
      <w:rPr>
        <w:rFonts w:ascii="Century Gothic" w:hAnsi="Century Gothic"/>
        <w:color w:val="808080" w:themeColor="background1" w:themeShade="80"/>
        <w:sz w:val="18"/>
        <w:szCs w:val="18"/>
        <w:lang w:val="es-BO"/>
      </w:rPr>
    </w:pPr>
    <w:r w:rsidRPr="00946334">
      <w:rPr>
        <w:rFonts w:ascii="Century Gothic" w:hAnsi="Century Gothic"/>
        <w:color w:val="808080" w:themeColor="background1" w:themeShade="80"/>
        <w:sz w:val="18"/>
        <w:szCs w:val="18"/>
        <w:lang w:val="es-BO"/>
      </w:rPr>
      <w:t>www.csbp.com.bo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3F5A" w14:textId="77777777" w:rsidR="001E74E5" w:rsidRDefault="001E74E5" w:rsidP="00946334">
      <w:r>
        <w:separator/>
      </w:r>
    </w:p>
  </w:footnote>
  <w:footnote w:type="continuationSeparator" w:id="0">
    <w:p w14:paraId="3D16EB44" w14:textId="77777777" w:rsidR="001E74E5" w:rsidRDefault="001E74E5" w:rsidP="0094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1DD4" w14:textId="57426AFE" w:rsidR="002F5C5A" w:rsidRDefault="002F5C5A">
    <w:pPr>
      <w:pStyle w:val="Encabezado"/>
    </w:pPr>
    <w:r>
      <w:rPr>
        <w:noProof/>
        <w:lang w:val="es-BO" w:eastAsia="es-BO"/>
      </w:rPr>
      <w:drawing>
        <wp:anchor distT="0" distB="0" distL="114300" distR="114300" simplePos="0" relativeHeight="251661312" behindDoc="1" locked="0" layoutInCell="1" allowOverlap="1" wp14:anchorId="2A0F7E66" wp14:editId="422A6218">
          <wp:simplePos x="0" y="0"/>
          <wp:positionH relativeFrom="column">
            <wp:posOffset>3326004</wp:posOffset>
          </wp:positionH>
          <wp:positionV relativeFrom="paragraph">
            <wp:posOffset>-251844</wp:posOffset>
          </wp:positionV>
          <wp:extent cx="2344887" cy="77372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14:sizeRelH relativeFrom="margin">
            <wp14:pctWidth>0</wp14:pctWidth>
          </wp14:sizeRelH>
          <wp14:sizeRelV relativeFrom="margin">
            <wp14:pctHeight>0</wp14:pctHeight>
          </wp14:sizeRelV>
        </wp:anchor>
      </w:drawing>
    </w:r>
  </w:p>
  <w:p w14:paraId="31AA255D" w14:textId="77777777" w:rsidR="002F5C5A" w:rsidRDefault="002F5C5A">
    <w:pPr>
      <w:pStyle w:val="Encabezado"/>
    </w:pPr>
  </w:p>
  <w:p w14:paraId="24DD1AF4" w14:textId="74CF26B8" w:rsidR="002F5C5A" w:rsidRDefault="002F5C5A">
    <w:pPr>
      <w:pStyle w:val="Encabezado"/>
    </w:pPr>
  </w:p>
  <w:p w14:paraId="5B7C1479" w14:textId="71D56EF5" w:rsidR="002F5C5A" w:rsidRDefault="002F5C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5CE1"/>
    <w:multiLevelType w:val="multilevel"/>
    <w:tmpl w:val="3FB4625A"/>
    <w:lvl w:ilvl="0">
      <w:start w:val="4"/>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 w15:restartNumberingAfterBreak="0">
    <w:nsid w:val="176238EC"/>
    <w:multiLevelType w:val="multilevel"/>
    <w:tmpl w:val="DCCE663A"/>
    <w:lvl w:ilvl="0">
      <w:start w:val="4"/>
      <w:numFmt w:val="decimal"/>
      <w:lvlText w:val="%1"/>
      <w:lvlJc w:val="left"/>
      <w:pPr>
        <w:ind w:left="360" w:hanging="360"/>
      </w:pPr>
      <w:rPr>
        <w:rFonts w:hint="default"/>
      </w:rPr>
    </w:lvl>
    <w:lvl w:ilvl="1">
      <w:start w:val="1"/>
      <w:numFmt w:val="decimal"/>
      <w:lvlText w:val="%1.%2"/>
      <w:lvlJc w:val="left"/>
      <w:pPr>
        <w:ind w:left="1131" w:hanging="72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2313" w:hanging="108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495" w:hanging="1440"/>
      </w:pPr>
      <w:rPr>
        <w:rFonts w:hint="default"/>
      </w:rPr>
    </w:lvl>
    <w:lvl w:ilvl="6">
      <w:start w:val="1"/>
      <w:numFmt w:val="decimal"/>
      <w:lvlText w:val="%1.%2.%3.%4.%5.%6.%7"/>
      <w:lvlJc w:val="left"/>
      <w:pPr>
        <w:ind w:left="4266" w:hanging="1800"/>
      </w:pPr>
      <w:rPr>
        <w:rFonts w:hint="default"/>
      </w:rPr>
    </w:lvl>
    <w:lvl w:ilvl="7">
      <w:start w:val="1"/>
      <w:numFmt w:val="decimal"/>
      <w:lvlText w:val="%1.%2.%3.%4.%5.%6.%7.%8"/>
      <w:lvlJc w:val="left"/>
      <w:pPr>
        <w:ind w:left="4677" w:hanging="1800"/>
      </w:pPr>
      <w:rPr>
        <w:rFonts w:hint="default"/>
      </w:rPr>
    </w:lvl>
    <w:lvl w:ilvl="8">
      <w:start w:val="1"/>
      <w:numFmt w:val="decimal"/>
      <w:lvlText w:val="%1.%2.%3.%4.%5.%6.%7.%8.%9"/>
      <w:lvlJc w:val="left"/>
      <w:pPr>
        <w:ind w:left="5448" w:hanging="2160"/>
      </w:pPr>
      <w:rPr>
        <w:rFonts w:hint="default"/>
      </w:rPr>
    </w:lvl>
  </w:abstractNum>
  <w:abstractNum w:abstractNumId="3" w15:restartNumberingAfterBreak="0">
    <w:nsid w:val="24383D34"/>
    <w:multiLevelType w:val="hybridMultilevel"/>
    <w:tmpl w:val="24868FA2"/>
    <w:lvl w:ilvl="0" w:tplc="C484A952">
      <w:numFmt w:val="bullet"/>
      <w:lvlText w:val="-"/>
      <w:lvlJc w:val="left"/>
      <w:pPr>
        <w:ind w:left="643" w:hanging="360"/>
      </w:pPr>
      <w:rPr>
        <w:rFonts w:ascii="Century Gothic" w:eastAsia="Times New Roman" w:hAnsi="Century Gothic" w:cs="Times New Roman" w:hint="default"/>
      </w:rPr>
    </w:lvl>
    <w:lvl w:ilvl="1" w:tplc="400A0003" w:tentative="1">
      <w:start w:val="1"/>
      <w:numFmt w:val="bullet"/>
      <w:lvlText w:val="o"/>
      <w:lvlJc w:val="left"/>
      <w:pPr>
        <w:ind w:left="1363" w:hanging="360"/>
      </w:pPr>
      <w:rPr>
        <w:rFonts w:ascii="Courier New" w:hAnsi="Courier New" w:cs="Courier New" w:hint="default"/>
      </w:rPr>
    </w:lvl>
    <w:lvl w:ilvl="2" w:tplc="400A0005" w:tentative="1">
      <w:start w:val="1"/>
      <w:numFmt w:val="bullet"/>
      <w:lvlText w:val=""/>
      <w:lvlJc w:val="left"/>
      <w:pPr>
        <w:ind w:left="2083" w:hanging="360"/>
      </w:pPr>
      <w:rPr>
        <w:rFonts w:ascii="Wingdings" w:hAnsi="Wingdings" w:hint="default"/>
      </w:rPr>
    </w:lvl>
    <w:lvl w:ilvl="3" w:tplc="400A0001" w:tentative="1">
      <w:start w:val="1"/>
      <w:numFmt w:val="bullet"/>
      <w:lvlText w:val=""/>
      <w:lvlJc w:val="left"/>
      <w:pPr>
        <w:ind w:left="2803" w:hanging="360"/>
      </w:pPr>
      <w:rPr>
        <w:rFonts w:ascii="Symbol" w:hAnsi="Symbol" w:hint="default"/>
      </w:rPr>
    </w:lvl>
    <w:lvl w:ilvl="4" w:tplc="400A0003" w:tentative="1">
      <w:start w:val="1"/>
      <w:numFmt w:val="bullet"/>
      <w:lvlText w:val="o"/>
      <w:lvlJc w:val="left"/>
      <w:pPr>
        <w:ind w:left="3523" w:hanging="360"/>
      </w:pPr>
      <w:rPr>
        <w:rFonts w:ascii="Courier New" w:hAnsi="Courier New" w:cs="Courier New" w:hint="default"/>
      </w:rPr>
    </w:lvl>
    <w:lvl w:ilvl="5" w:tplc="400A0005" w:tentative="1">
      <w:start w:val="1"/>
      <w:numFmt w:val="bullet"/>
      <w:lvlText w:val=""/>
      <w:lvlJc w:val="left"/>
      <w:pPr>
        <w:ind w:left="4243" w:hanging="360"/>
      </w:pPr>
      <w:rPr>
        <w:rFonts w:ascii="Wingdings" w:hAnsi="Wingdings" w:hint="default"/>
      </w:rPr>
    </w:lvl>
    <w:lvl w:ilvl="6" w:tplc="400A0001" w:tentative="1">
      <w:start w:val="1"/>
      <w:numFmt w:val="bullet"/>
      <w:lvlText w:val=""/>
      <w:lvlJc w:val="left"/>
      <w:pPr>
        <w:ind w:left="4963" w:hanging="360"/>
      </w:pPr>
      <w:rPr>
        <w:rFonts w:ascii="Symbol" w:hAnsi="Symbol" w:hint="default"/>
      </w:rPr>
    </w:lvl>
    <w:lvl w:ilvl="7" w:tplc="400A0003" w:tentative="1">
      <w:start w:val="1"/>
      <w:numFmt w:val="bullet"/>
      <w:lvlText w:val="o"/>
      <w:lvlJc w:val="left"/>
      <w:pPr>
        <w:ind w:left="5683" w:hanging="360"/>
      </w:pPr>
      <w:rPr>
        <w:rFonts w:ascii="Courier New" w:hAnsi="Courier New" w:cs="Courier New" w:hint="default"/>
      </w:rPr>
    </w:lvl>
    <w:lvl w:ilvl="8" w:tplc="400A0005" w:tentative="1">
      <w:start w:val="1"/>
      <w:numFmt w:val="bullet"/>
      <w:lvlText w:val=""/>
      <w:lvlJc w:val="left"/>
      <w:pPr>
        <w:ind w:left="6403" w:hanging="360"/>
      </w:pPr>
      <w:rPr>
        <w:rFonts w:ascii="Wingdings" w:hAnsi="Wingdings" w:hint="default"/>
      </w:rPr>
    </w:lvl>
  </w:abstractNum>
  <w:abstractNum w:abstractNumId="4" w15:restartNumberingAfterBreak="0">
    <w:nsid w:val="24C71F02"/>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 w15:restartNumberingAfterBreak="0">
    <w:nsid w:val="28B032D6"/>
    <w:multiLevelType w:val="hybridMultilevel"/>
    <w:tmpl w:val="6686B2B0"/>
    <w:lvl w:ilvl="0" w:tplc="6E4A8622">
      <w:numFmt w:val="bullet"/>
      <w:lvlText w:val="-"/>
      <w:lvlJc w:val="left"/>
      <w:pPr>
        <w:ind w:left="1080" w:hanging="360"/>
      </w:pPr>
      <w:rPr>
        <w:rFonts w:ascii="Century Gothic" w:eastAsia="Times New Roman" w:hAnsi="Century Gothic"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15:restartNumberingAfterBreak="0">
    <w:nsid w:val="2E325F42"/>
    <w:multiLevelType w:val="hybridMultilevel"/>
    <w:tmpl w:val="D4E4BA4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 w15:restartNumberingAfterBreak="0">
    <w:nsid w:val="37DC25F0"/>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9" w15:restartNumberingAfterBreak="0">
    <w:nsid w:val="383C146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0" w15:restartNumberingAfterBreak="0">
    <w:nsid w:val="41947A20"/>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1" w15:restartNumberingAfterBreak="0">
    <w:nsid w:val="4B0A07D3"/>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2" w15:restartNumberingAfterBreak="0">
    <w:nsid w:val="513E7816"/>
    <w:multiLevelType w:val="hybridMultilevel"/>
    <w:tmpl w:val="8C5043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4" w15:restartNumberingAfterBreak="0">
    <w:nsid w:val="5BBB7071"/>
    <w:multiLevelType w:val="singleLevel"/>
    <w:tmpl w:val="4864A3BA"/>
    <w:lvl w:ilvl="0">
      <w:start w:val="1"/>
      <w:numFmt w:val="bullet"/>
      <w:lvlText w:val=""/>
      <w:lvlJc w:val="left"/>
      <w:pPr>
        <w:tabs>
          <w:tab w:val="num" w:pos="360"/>
        </w:tabs>
        <w:ind w:left="360" w:hanging="360"/>
      </w:pPr>
      <w:rPr>
        <w:rFonts w:ascii="Symbol" w:hAnsi="Symbol" w:hint="default"/>
        <w:b w:val="0"/>
        <w:i w:val="0"/>
        <w:color w:val="auto"/>
      </w:rPr>
    </w:lvl>
  </w:abstractNum>
  <w:abstractNum w:abstractNumId="15" w15:restartNumberingAfterBreak="0">
    <w:nsid w:val="5E5775F7"/>
    <w:multiLevelType w:val="multilevel"/>
    <w:tmpl w:val="D766DCD4"/>
    <w:lvl w:ilvl="0">
      <w:start w:val="1"/>
      <w:numFmt w:val="decimal"/>
      <w:lvlText w:val="%1."/>
      <w:lvlJc w:val="left"/>
      <w:pPr>
        <w:tabs>
          <w:tab w:val="num" w:pos="411"/>
        </w:tabs>
        <w:ind w:left="411" w:hanging="411"/>
      </w:pPr>
      <w:rPr>
        <w:rFonts w:ascii="Verdana" w:hAnsi="Verdana" w:cs="Times New Roman" w:hint="default"/>
        <w:b/>
        <w:i w:val="0"/>
        <w:sz w:val="16"/>
        <w:szCs w:val="16"/>
      </w:rPr>
    </w:lvl>
    <w:lvl w:ilvl="1">
      <w:start w:val="1"/>
      <w:numFmt w:val="bullet"/>
      <w:lvlText w:val=""/>
      <w:lvlJc w:val="left"/>
      <w:pPr>
        <w:tabs>
          <w:tab w:val="num" w:pos="6480"/>
        </w:tabs>
        <w:ind w:left="6480" w:hanging="720"/>
      </w:pPr>
      <w:rPr>
        <w:rFonts w:ascii="Symbol" w:hAnsi="Symbol" w:hint="default"/>
        <w:b w:val="0"/>
        <w:i w:val="0"/>
        <w:sz w:val="16"/>
        <w:szCs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7" w15:restartNumberingAfterBreak="0">
    <w:nsid w:val="63E175AA"/>
    <w:multiLevelType w:val="hybridMultilevel"/>
    <w:tmpl w:val="C15C8078"/>
    <w:lvl w:ilvl="0" w:tplc="400A000B">
      <w:start w:val="1"/>
      <w:numFmt w:val="bullet"/>
      <w:lvlText w:val=""/>
      <w:lvlJc w:val="left"/>
      <w:pPr>
        <w:ind w:left="1851" w:hanging="360"/>
      </w:pPr>
      <w:rPr>
        <w:rFonts w:ascii="Wingdings" w:hAnsi="Wingdings" w:hint="default"/>
      </w:rPr>
    </w:lvl>
    <w:lvl w:ilvl="1" w:tplc="400A0003" w:tentative="1">
      <w:start w:val="1"/>
      <w:numFmt w:val="bullet"/>
      <w:lvlText w:val="o"/>
      <w:lvlJc w:val="left"/>
      <w:pPr>
        <w:ind w:left="2571" w:hanging="360"/>
      </w:pPr>
      <w:rPr>
        <w:rFonts w:ascii="Courier New" w:hAnsi="Courier New" w:cs="Courier New" w:hint="default"/>
      </w:rPr>
    </w:lvl>
    <w:lvl w:ilvl="2" w:tplc="400A0005" w:tentative="1">
      <w:start w:val="1"/>
      <w:numFmt w:val="bullet"/>
      <w:lvlText w:val=""/>
      <w:lvlJc w:val="left"/>
      <w:pPr>
        <w:ind w:left="3291" w:hanging="360"/>
      </w:pPr>
      <w:rPr>
        <w:rFonts w:ascii="Wingdings" w:hAnsi="Wingdings" w:hint="default"/>
      </w:rPr>
    </w:lvl>
    <w:lvl w:ilvl="3" w:tplc="400A0001" w:tentative="1">
      <w:start w:val="1"/>
      <w:numFmt w:val="bullet"/>
      <w:lvlText w:val=""/>
      <w:lvlJc w:val="left"/>
      <w:pPr>
        <w:ind w:left="4011" w:hanging="360"/>
      </w:pPr>
      <w:rPr>
        <w:rFonts w:ascii="Symbol" w:hAnsi="Symbol" w:hint="default"/>
      </w:rPr>
    </w:lvl>
    <w:lvl w:ilvl="4" w:tplc="400A0003" w:tentative="1">
      <w:start w:val="1"/>
      <w:numFmt w:val="bullet"/>
      <w:lvlText w:val="o"/>
      <w:lvlJc w:val="left"/>
      <w:pPr>
        <w:ind w:left="4731" w:hanging="360"/>
      </w:pPr>
      <w:rPr>
        <w:rFonts w:ascii="Courier New" w:hAnsi="Courier New" w:cs="Courier New" w:hint="default"/>
      </w:rPr>
    </w:lvl>
    <w:lvl w:ilvl="5" w:tplc="400A0005" w:tentative="1">
      <w:start w:val="1"/>
      <w:numFmt w:val="bullet"/>
      <w:lvlText w:val=""/>
      <w:lvlJc w:val="left"/>
      <w:pPr>
        <w:ind w:left="5451" w:hanging="360"/>
      </w:pPr>
      <w:rPr>
        <w:rFonts w:ascii="Wingdings" w:hAnsi="Wingdings" w:hint="default"/>
      </w:rPr>
    </w:lvl>
    <w:lvl w:ilvl="6" w:tplc="400A0001" w:tentative="1">
      <w:start w:val="1"/>
      <w:numFmt w:val="bullet"/>
      <w:lvlText w:val=""/>
      <w:lvlJc w:val="left"/>
      <w:pPr>
        <w:ind w:left="6171" w:hanging="360"/>
      </w:pPr>
      <w:rPr>
        <w:rFonts w:ascii="Symbol" w:hAnsi="Symbol" w:hint="default"/>
      </w:rPr>
    </w:lvl>
    <w:lvl w:ilvl="7" w:tplc="400A0003" w:tentative="1">
      <w:start w:val="1"/>
      <w:numFmt w:val="bullet"/>
      <w:lvlText w:val="o"/>
      <w:lvlJc w:val="left"/>
      <w:pPr>
        <w:ind w:left="6891" w:hanging="360"/>
      </w:pPr>
      <w:rPr>
        <w:rFonts w:ascii="Courier New" w:hAnsi="Courier New" w:cs="Courier New" w:hint="default"/>
      </w:rPr>
    </w:lvl>
    <w:lvl w:ilvl="8" w:tplc="400A0005" w:tentative="1">
      <w:start w:val="1"/>
      <w:numFmt w:val="bullet"/>
      <w:lvlText w:val=""/>
      <w:lvlJc w:val="left"/>
      <w:pPr>
        <w:ind w:left="7611" w:hanging="360"/>
      </w:pPr>
      <w:rPr>
        <w:rFonts w:ascii="Wingdings" w:hAnsi="Wingdings" w:hint="default"/>
      </w:rPr>
    </w:lvl>
  </w:abstractNum>
  <w:abstractNum w:abstractNumId="18"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num w:numId="1">
    <w:abstractNumId w:val="6"/>
  </w:num>
  <w:num w:numId="2">
    <w:abstractNumId w:val="15"/>
  </w:num>
  <w:num w:numId="3">
    <w:abstractNumId w:val="14"/>
  </w:num>
  <w:num w:numId="4">
    <w:abstractNumId w:val="4"/>
  </w:num>
  <w:num w:numId="5">
    <w:abstractNumId w:val="11"/>
  </w:num>
  <w:num w:numId="6">
    <w:abstractNumId w:val="18"/>
  </w:num>
  <w:num w:numId="7">
    <w:abstractNumId w:val="8"/>
  </w:num>
  <w:num w:numId="8">
    <w:abstractNumId w:val="7"/>
  </w:num>
  <w:num w:numId="9">
    <w:abstractNumId w:val="9"/>
  </w:num>
  <w:num w:numId="10">
    <w:abstractNumId w:val="16"/>
  </w:num>
  <w:num w:numId="11">
    <w:abstractNumId w:val="1"/>
  </w:num>
  <w:num w:numId="12">
    <w:abstractNumId w:val="10"/>
  </w:num>
  <w:num w:numId="13">
    <w:abstractNumId w:val="13"/>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2"/>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34"/>
    <w:rsid w:val="00010EC0"/>
    <w:rsid w:val="000652FA"/>
    <w:rsid w:val="000E755A"/>
    <w:rsid w:val="00137F60"/>
    <w:rsid w:val="00156D56"/>
    <w:rsid w:val="001E6F4E"/>
    <w:rsid w:val="001E74E5"/>
    <w:rsid w:val="00215A8A"/>
    <w:rsid w:val="00232132"/>
    <w:rsid w:val="00240C43"/>
    <w:rsid w:val="0029452D"/>
    <w:rsid w:val="002B0051"/>
    <w:rsid w:val="002F5C5A"/>
    <w:rsid w:val="00317197"/>
    <w:rsid w:val="003755DC"/>
    <w:rsid w:val="003C5AF4"/>
    <w:rsid w:val="0044482E"/>
    <w:rsid w:val="0046533C"/>
    <w:rsid w:val="0047558C"/>
    <w:rsid w:val="004A336A"/>
    <w:rsid w:val="004B0F09"/>
    <w:rsid w:val="004B121A"/>
    <w:rsid w:val="006403C2"/>
    <w:rsid w:val="006A15B8"/>
    <w:rsid w:val="00780FC0"/>
    <w:rsid w:val="00780FE5"/>
    <w:rsid w:val="0078566C"/>
    <w:rsid w:val="007E31EB"/>
    <w:rsid w:val="007F1BCD"/>
    <w:rsid w:val="00846DA0"/>
    <w:rsid w:val="008A3926"/>
    <w:rsid w:val="00913A4A"/>
    <w:rsid w:val="00932D46"/>
    <w:rsid w:val="00946334"/>
    <w:rsid w:val="009C44F1"/>
    <w:rsid w:val="009E2F1A"/>
    <w:rsid w:val="009E3AB5"/>
    <w:rsid w:val="00A11EBB"/>
    <w:rsid w:val="00A71011"/>
    <w:rsid w:val="00A83928"/>
    <w:rsid w:val="00AF0128"/>
    <w:rsid w:val="00B84471"/>
    <w:rsid w:val="00B86712"/>
    <w:rsid w:val="00BB000B"/>
    <w:rsid w:val="00BE1F4B"/>
    <w:rsid w:val="00BE7D04"/>
    <w:rsid w:val="00C327E5"/>
    <w:rsid w:val="00C92A42"/>
    <w:rsid w:val="00CA3E6D"/>
    <w:rsid w:val="00CD4F06"/>
    <w:rsid w:val="00D2459D"/>
    <w:rsid w:val="00D61F38"/>
    <w:rsid w:val="00D9370F"/>
    <w:rsid w:val="00DF634E"/>
    <w:rsid w:val="00DF757B"/>
    <w:rsid w:val="00E8330A"/>
    <w:rsid w:val="00EE53B0"/>
    <w:rsid w:val="00EF25E1"/>
    <w:rsid w:val="00F16045"/>
    <w:rsid w:val="00F56969"/>
    <w:rsid w:val="00F61FA6"/>
    <w:rsid w:val="00FB5B33"/>
    <w:rsid w:val="00FD467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9496F3"/>
  <w15:chartTrackingRefBased/>
  <w15:docId w15:val="{FFB7B6B3-8F2F-4B9F-A4CA-8853726A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3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13A4A"/>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6334"/>
    <w:pPr>
      <w:spacing w:after="200" w:line="276" w:lineRule="auto"/>
      <w:ind w:left="720"/>
      <w:contextualSpacing/>
    </w:pPr>
    <w:rPr>
      <w:rFonts w:ascii="Calibri" w:eastAsia="Calibri" w:hAnsi="Calibri"/>
      <w:sz w:val="22"/>
      <w:szCs w:val="22"/>
      <w:lang w:eastAsia="en-US"/>
    </w:rPr>
  </w:style>
  <w:style w:type="paragraph" w:styleId="Lista2">
    <w:name w:val="List 2"/>
    <w:basedOn w:val="Normal"/>
    <w:uiPriority w:val="99"/>
    <w:unhideWhenUsed/>
    <w:rsid w:val="00946334"/>
    <w:pPr>
      <w:ind w:left="566" w:hanging="283"/>
      <w:contextualSpacing/>
    </w:pPr>
  </w:style>
  <w:style w:type="paragraph" w:styleId="Sinespaciado">
    <w:name w:val="No Spacing"/>
    <w:uiPriority w:val="1"/>
    <w:qFormat/>
    <w:rsid w:val="00946334"/>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46334"/>
    <w:pPr>
      <w:tabs>
        <w:tab w:val="center" w:pos="4252"/>
        <w:tab w:val="right" w:pos="8504"/>
      </w:tabs>
    </w:pPr>
  </w:style>
  <w:style w:type="character" w:customStyle="1" w:styleId="EncabezadoCar">
    <w:name w:val="Encabezado Car"/>
    <w:basedOn w:val="Fuentedeprrafopredeter"/>
    <w:link w:val="Encabezado"/>
    <w:uiPriority w:val="99"/>
    <w:rsid w:val="0094633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46334"/>
    <w:pPr>
      <w:tabs>
        <w:tab w:val="center" w:pos="4252"/>
        <w:tab w:val="right" w:pos="8504"/>
      </w:tabs>
    </w:pPr>
  </w:style>
  <w:style w:type="character" w:customStyle="1" w:styleId="PiedepginaCar">
    <w:name w:val="Pie de página Car"/>
    <w:basedOn w:val="Fuentedeprrafopredeter"/>
    <w:link w:val="Piedepgina"/>
    <w:uiPriority w:val="99"/>
    <w:rsid w:val="00946334"/>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946334"/>
    <w:rPr>
      <w:color w:val="0563C1" w:themeColor="hyperlink"/>
      <w:u w:val="single"/>
    </w:rPr>
  </w:style>
  <w:style w:type="character" w:customStyle="1" w:styleId="Mencinsinresolver1">
    <w:name w:val="Mención sin resolver1"/>
    <w:basedOn w:val="Fuentedeprrafopredeter"/>
    <w:uiPriority w:val="99"/>
    <w:semiHidden/>
    <w:unhideWhenUsed/>
    <w:rsid w:val="00946334"/>
    <w:rPr>
      <w:color w:val="605E5C"/>
      <w:shd w:val="clear" w:color="auto" w:fill="E1DFDD"/>
    </w:rPr>
  </w:style>
  <w:style w:type="character" w:customStyle="1" w:styleId="Ttulo1Car">
    <w:name w:val="Título 1 Car"/>
    <w:basedOn w:val="Fuentedeprrafopredeter"/>
    <w:link w:val="Ttulo1"/>
    <w:uiPriority w:val="9"/>
    <w:rsid w:val="00913A4A"/>
    <w:rPr>
      <w:rFonts w:asciiTheme="majorHAnsi" w:eastAsiaTheme="majorEastAsia" w:hAnsiTheme="majorHAnsi" w:cstheme="majorBidi"/>
      <w:b/>
      <w:bCs/>
      <w:color w:val="2F5496" w:themeColor="accent1" w:themeShade="BF"/>
      <w:sz w:val="28"/>
      <w:szCs w:val="28"/>
      <w:lang w:eastAsia="es-BO"/>
    </w:rPr>
  </w:style>
  <w:style w:type="paragraph" w:styleId="Textodeglobo">
    <w:name w:val="Balloon Text"/>
    <w:basedOn w:val="Normal"/>
    <w:link w:val="TextodegloboCar"/>
    <w:uiPriority w:val="99"/>
    <w:semiHidden/>
    <w:unhideWhenUsed/>
    <w:rsid w:val="00DF63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34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A1CB6-626A-47EE-BBB4-3B348FEA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1789</Words>
  <Characters>9842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Medico</dc:creator>
  <cp:keywords/>
  <dc:description/>
  <cp:lastModifiedBy>ESMERALDA RIOS LEYTON</cp:lastModifiedBy>
  <cp:revision>7</cp:revision>
  <cp:lastPrinted>2021-01-26T23:17:00Z</cp:lastPrinted>
  <dcterms:created xsi:type="dcterms:W3CDTF">2021-01-27T00:03:00Z</dcterms:created>
  <dcterms:modified xsi:type="dcterms:W3CDTF">2021-05-13T16:27:00Z</dcterms:modified>
</cp:coreProperties>
</file>