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F76A0C5">
            <wp:simplePos x="0" y="0"/>
            <wp:positionH relativeFrom="page">
              <wp:posOffset>2256155</wp:posOffset>
            </wp:positionH>
            <wp:positionV relativeFrom="paragraph">
              <wp:posOffset>64770</wp:posOffset>
            </wp:positionV>
            <wp:extent cx="3176905" cy="260286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3F693686" w:rsidR="0001574B" w:rsidRPr="00A95082" w:rsidRDefault="002B3C17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REGIONAL TARIJA</w:t>
      </w:r>
    </w:p>
    <w:p w14:paraId="6855446B" w14:textId="6E58F68F" w:rsidR="0001574B" w:rsidRPr="00417E6F" w:rsidRDefault="00A95082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TERMINOS DE REFERENCIA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D70F71B" w:rsidR="0001574B" w:rsidRPr="00DE2326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A111B6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D</w:t>
            </w:r>
            <w:r w:rsidR="00A111B6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ISPOSICION DE ACTIVOS FIJOS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 xml:space="preserve"> POR VENTA MEDIANTE CON</w:t>
            </w:r>
            <w:r w:rsidR="00D915AC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C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URSO DE PROPUESTAS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2D0316EE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225C70">
        <w:rPr>
          <w:rFonts w:asciiTheme="minorHAnsi" w:hAnsiTheme="minorHAnsi"/>
          <w:b/>
          <w:iCs/>
          <w:sz w:val="22"/>
          <w:szCs w:val="22"/>
          <w:lang w:val="es-ES"/>
        </w:rPr>
        <w:t>Tarija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225C70">
        <w:rPr>
          <w:rFonts w:asciiTheme="minorHAnsi" w:hAnsiTheme="minorHAnsi"/>
          <w:b/>
          <w:iCs/>
          <w:sz w:val="22"/>
          <w:szCs w:val="22"/>
          <w:lang w:val="es-ES"/>
        </w:rPr>
        <w:t>diciembre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EB37FB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6D1D44E3" w:rsidR="00232F50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CONSURSO DE PROPUESTAS</w:t>
            </w:r>
          </w:p>
          <w:p w14:paraId="3558B400" w14:textId="77777777" w:rsidR="0051506D" w:rsidRPr="00F51142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21589A54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10D2C5D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La Caja de Salud de la Banca Privada,</w:t>
            </w:r>
            <w:r w:rsidR="00CE4693">
              <w:rPr>
                <w:rFonts w:asciiTheme="minorHAnsi" w:hAnsiTheme="minorHAnsi" w:cs="Arial"/>
              </w:rPr>
              <w:t xml:space="preserve"> Regional Tarija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5C885E17" w:rsidR="000F2477" w:rsidRPr="00F51142" w:rsidRDefault="0051506D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DISPOSICIÓN DE ACTIVOS FIJOS</w:t>
            </w:r>
            <w:r w:rsidR="00DE23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POR VENTA MEDIANTE CONCURSO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7422CEB6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 xml:space="preserve">POR </w:t>
            </w:r>
            <w:r w:rsidR="00225C70">
              <w:rPr>
                <w:rFonts w:asciiTheme="minorHAnsi" w:hAnsiTheme="minorHAnsi" w:cs="Arial"/>
              </w:rPr>
              <w:t>Lote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16C5406C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E565CD">
              <w:rPr>
                <w:rFonts w:asciiTheme="minorHAnsi" w:hAnsiTheme="minorHAnsi" w:cs="Arial"/>
              </w:rPr>
              <w:t xml:space="preserve"> </w:t>
            </w:r>
            <w:r w:rsidR="00225C70">
              <w:rPr>
                <w:rFonts w:asciiTheme="minorHAnsi" w:hAnsiTheme="minorHAnsi" w:cs="Arial"/>
              </w:rPr>
              <w:t>Esmeralda Ríos</w:t>
            </w:r>
          </w:p>
          <w:p w14:paraId="069B58E9" w14:textId="0B366ED5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</w:t>
            </w:r>
            <w:r w:rsidR="00225C70">
              <w:rPr>
                <w:rFonts w:asciiTheme="minorHAnsi" w:hAnsiTheme="minorHAnsi" w:cs="Arial"/>
              </w:rPr>
              <w:t>Viviana Zeballos</w:t>
            </w:r>
          </w:p>
          <w:p w14:paraId="7A0B78F0" w14:textId="78CBA744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78BACA6C" w:rsidR="003364E7" w:rsidRDefault="000F2477" w:rsidP="0096606A">
            <w:pPr>
              <w:jc w:val="center"/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225C70" w:rsidRPr="002C1E8D">
                <w:rPr>
                  <w:rStyle w:val="Hipervnculo"/>
                </w:rPr>
                <w:t>esmeralda.rios</w:t>
              </w:r>
              <w:r w:rsidR="00225C70" w:rsidRPr="002C1E8D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48B63850" w14:textId="792EB6A6" w:rsidR="0051506D" w:rsidRDefault="0051506D" w:rsidP="0096606A">
            <w:pPr>
              <w:jc w:val="center"/>
            </w:pPr>
            <w:r>
              <w:t xml:space="preserve">                                     </w:t>
            </w:r>
            <w:hyperlink r:id="rId11" w:history="1">
              <w:r w:rsidR="00225C70" w:rsidRPr="002C1E8D">
                <w:rPr>
                  <w:rStyle w:val="Hipervnculo"/>
                </w:rPr>
                <w:t>viviana.zeballos</w:t>
              </w:r>
              <w:r w:rsidR="00225C70" w:rsidRPr="002C1E8D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30D9FCD4" w14:textId="5B0DB740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3D578A8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225C70">
              <w:rPr>
                <w:rFonts w:asciiTheme="minorHAnsi" w:hAnsiTheme="minorHAnsi" w:cstheme="minorHAnsi"/>
              </w:rPr>
              <w:t>67639375</w:t>
            </w:r>
            <w:r w:rsidR="00CE4693">
              <w:rPr>
                <w:rFonts w:asciiTheme="minorHAnsi" w:hAnsiTheme="minorHAnsi" w:cstheme="minorHAnsi"/>
              </w:rPr>
              <w:t xml:space="preserve"> -60275908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Pr="00470FEB" w:rsidRDefault="005D315D" w:rsidP="005D315D">
      <w:pPr>
        <w:rPr>
          <w:noProof/>
          <w:sz w:val="24"/>
          <w:szCs w:val="24"/>
          <w:lang w:eastAsia="es-ES"/>
        </w:rPr>
      </w:pPr>
    </w:p>
    <w:p w14:paraId="0EB8BF15" w14:textId="3945A4BD" w:rsidR="005D315D" w:rsidRPr="00470FEB" w:rsidRDefault="00864CAA" w:rsidP="00231B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02484965"/>
      <w:r w:rsidRPr="00470FEB">
        <w:rPr>
          <w:rFonts w:asciiTheme="minorHAnsi" w:hAnsiTheme="minorHAnsi" w:cstheme="minorHAnsi"/>
          <w:b/>
          <w:sz w:val="24"/>
          <w:szCs w:val="24"/>
        </w:rPr>
        <w:t>DISPOSICIÓN DE ACTIVOS FIJOS</w:t>
      </w:r>
      <w:r w:rsidR="00EB6ACC" w:rsidRPr="00470FEB">
        <w:rPr>
          <w:rFonts w:asciiTheme="minorHAnsi" w:hAnsiTheme="minorHAnsi" w:cstheme="minorHAnsi"/>
          <w:b/>
          <w:sz w:val="24"/>
          <w:szCs w:val="24"/>
        </w:rPr>
        <w:t xml:space="preserve"> POR VENTA MEDIANTE CONSURSO DE PROPUESTAS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5EEBF1D8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>con capacidad e interés en formar parte de proceso de DISPOSICIÓN DE ACTIVOS FIJOS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23DE46B7" w:rsidR="005D315D" w:rsidRPr="00EB6ACC" w:rsidRDefault="005D315D" w:rsidP="00EB6A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225C70">
        <w:rPr>
          <w:rFonts w:asciiTheme="minorHAnsi" w:hAnsiTheme="minorHAnsi" w:cstheme="minorHAnsi"/>
          <w:sz w:val="22"/>
          <w:szCs w:val="22"/>
        </w:rPr>
        <w:t>2</w:t>
      </w:r>
      <w:r w:rsidR="00796CCF">
        <w:rPr>
          <w:rFonts w:asciiTheme="minorHAnsi" w:hAnsiTheme="minorHAnsi" w:cstheme="minorHAnsi"/>
          <w:sz w:val="22"/>
          <w:szCs w:val="22"/>
        </w:rPr>
        <w:t>:</w:t>
      </w:r>
      <w:r w:rsidR="00225C70">
        <w:rPr>
          <w:rFonts w:asciiTheme="minorHAnsi" w:hAnsiTheme="minorHAnsi" w:cstheme="minorHAnsi"/>
          <w:sz w:val="22"/>
          <w:szCs w:val="22"/>
        </w:rPr>
        <w:t>0</w:t>
      </w:r>
      <w:r w:rsidR="00864CAA">
        <w:rPr>
          <w:rFonts w:asciiTheme="minorHAnsi" w:hAnsiTheme="minorHAnsi" w:cstheme="minorHAnsi"/>
          <w:sz w:val="22"/>
          <w:szCs w:val="22"/>
        </w:rPr>
        <w:t>0</w:t>
      </w:r>
      <w:r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EB6ACC">
        <w:rPr>
          <w:rFonts w:asciiTheme="minorHAnsi" w:hAnsiTheme="minorHAnsi" w:cstheme="minorHAnsi"/>
          <w:sz w:val="22"/>
          <w:szCs w:val="22"/>
        </w:rPr>
        <w:t xml:space="preserve">del </w:t>
      </w:r>
      <w:r w:rsidR="00A111B6">
        <w:rPr>
          <w:rFonts w:asciiTheme="minorHAnsi" w:hAnsiTheme="minorHAnsi" w:cstheme="minorHAnsi"/>
          <w:sz w:val="22"/>
          <w:szCs w:val="22"/>
        </w:rPr>
        <w:t xml:space="preserve">día </w:t>
      </w:r>
      <w:r w:rsidR="002B3C17">
        <w:rPr>
          <w:rFonts w:asciiTheme="minorHAnsi" w:hAnsiTheme="minorHAnsi" w:cstheme="minorHAnsi"/>
          <w:b/>
          <w:bCs/>
          <w:sz w:val="22"/>
          <w:szCs w:val="22"/>
        </w:rPr>
        <w:t>miércoles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5C70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51EF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225C70">
        <w:rPr>
          <w:rFonts w:asciiTheme="minorHAnsi" w:hAnsiTheme="minorHAnsi" w:cstheme="minorHAnsi"/>
          <w:b/>
          <w:bCs/>
          <w:sz w:val="22"/>
          <w:szCs w:val="22"/>
        </w:rPr>
        <w:t xml:space="preserve">diciembre </w:t>
      </w:r>
      <w:r w:rsidRPr="00967673">
        <w:rPr>
          <w:rFonts w:asciiTheme="minorHAnsi" w:hAnsiTheme="minorHAnsi" w:cstheme="minorHAnsi"/>
          <w:b/>
          <w:sz w:val="22"/>
          <w:szCs w:val="22"/>
        </w:rPr>
        <w:t>del 202</w:t>
      </w:r>
      <w:r w:rsidR="00B963B6">
        <w:rPr>
          <w:rFonts w:asciiTheme="minorHAnsi" w:hAnsiTheme="minorHAnsi" w:cstheme="minorHAnsi"/>
          <w:b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>, de forma</w:t>
      </w:r>
      <w:r w:rsidR="00864CAA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el </w:t>
      </w:r>
      <w:r w:rsidR="00225C70">
        <w:rPr>
          <w:rFonts w:asciiTheme="minorHAnsi" w:hAnsiTheme="minorHAnsi" w:cstheme="minorHAnsi"/>
          <w:sz w:val="22"/>
          <w:szCs w:val="22"/>
        </w:rPr>
        <w:t xml:space="preserve">Policonsultorio ubicado en la calle 15 de abril </w:t>
      </w:r>
      <w:proofErr w:type="spellStart"/>
      <w:r w:rsidR="00225C70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="00225C70">
        <w:rPr>
          <w:rFonts w:asciiTheme="minorHAnsi" w:hAnsiTheme="minorHAnsi" w:cstheme="minorHAnsi"/>
          <w:sz w:val="22"/>
          <w:szCs w:val="22"/>
        </w:rPr>
        <w:t xml:space="preserve"> 432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PROCESO DE DISPOSICIÓN DE ACTIVOS FIJOS</w:t>
      </w:r>
      <w:r w:rsidR="00EB6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6ACC">
        <w:rPr>
          <w:rFonts w:asciiTheme="minorHAnsi" w:hAnsiTheme="minorHAnsi" w:cstheme="minorHAnsi"/>
          <w:b/>
          <w:sz w:val="22"/>
          <w:szCs w:val="22"/>
        </w:rPr>
        <w:t>POR VENTA MEDIANTE CONSURSO DE PROPUESTAS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B6ACC">
        <w:rPr>
          <w:rFonts w:asciiTheme="minorHAnsi" w:hAnsiTheme="minorHAnsi" w:cstheme="minorHAnsi"/>
          <w:sz w:val="22"/>
          <w:szCs w:val="22"/>
        </w:rPr>
        <w:t>.</w:t>
      </w:r>
    </w:p>
    <w:p w14:paraId="0E92674F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6167841A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Oficina Nacional, </w:t>
      </w:r>
      <w:r w:rsidRPr="00EB6ACC">
        <w:rPr>
          <w:rFonts w:asciiTheme="minorHAnsi" w:hAnsiTheme="minorHAnsi" w:cstheme="minorHAnsi"/>
          <w:bCs/>
          <w:sz w:val="22"/>
          <w:szCs w:val="22"/>
        </w:rPr>
        <w:t>pone a disposición bajo la modalidad de Venta 9</w:t>
      </w:r>
      <w:r w:rsidR="002B3C17">
        <w:rPr>
          <w:rFonts w:asciiTheme="minorHAnsi" w:hAnsiTheme="minorHAnsi" w:cstheme="minorHAnsi"/>
          <w:bCs/>
          <w:sz w:val="22"/>
          <w:szCs w:val="22"/>
        </w:rPr>
        <w:t>8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6700665D" w:rsidR="00D50BB1" w:rsidRPr="00967673" w:rsidRDefault="00D868A4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 MEDICO</w:t>
            </w:r>
          </w:p>
        </w:tc>
        <w:tc>
          <w:tcPr>
            <w:tcW w:w="1242" w:type="dxa"/>
            <w:vAlign w:val="center"/>
          </w:tcPr>
          <w:p w14:paraId="462CCA4E" w14:textId="343C34CD" w:rsidR="00D50BB1" w:rsidRPr="00967673" w:rsidRDefault="00D868A4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</w:tr>
      <w:tr w:rsidR="00724C5E" w:rsidRPr="00967673" w14:paraId="64C58BC6" w14:textId="77777777" w:rsidTr="00EB6ACC">
        <w:trPr>
          <w:trHeight w:val="207"/>
          <w:jc w:val="center"/>
        </w:trPr>
        <w:tc>
          <w:tcPr>
            <w:tcW w:w="822" w:type="dxa"/>
            <w:vAlign w:val="center"/>
          </w:tcPr>
          <w:p w14:paraId="3197D712" w14:textId="6DCDE7BB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292297CB" w14:textId="09FC0DDC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2F2620D0" w14:textId="647C664F" w:rsidR="00724C5E" w:rsidRDefault="00D868A4" w:rsidP="00724C5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7B7ACF91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7A6C84AA" w:rsidR="00D868A4" w:rsidRDefault="00D868A4" w:rsidP="00D868A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</w:tr>
      <w:tr w:rsidR="00724C5E" w:rsidRPr="00967673" w14:paraId="7CD90107" w14:textId="77777777" w:rsidTr="00D868A4">
        <w:trPr>
          <w:trHeight w:val="165"/>
          <w:jc w:val="center"/>
        </w:trPr>
        <w:tc>
          <w:tcPr>
            <w:tcW w:w="822" w:type="dxa"/>
            <w:vAlign w:val="center"/>
          </w:tcPr>
          <w:p w14:paraId="29F2968A" w14:textId="2EAB3B97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313" w:type="dxa"/>
            <w:vAlign w:val="center"/>
          </w:tcPr>
          <w:p w14:paraId="5A85E4A1" w14:textId="526E9EF4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MUBLES </w:t>
            </w:r>
          </w:p>
        </w:tc>
        <w:tc>
          <w:tcPr>
            <w:tcW w:w="1242" w:type="dxa"/>
            <w:vAlign w:val="center"/>
          </w:tcPr>
          <w:p w14:paraId="5DA0CCAD" w14:textId="46ECBEF8" w:rsidR="00D868A4" w:rsidRDefault="00D868A4" w:rsidP="00D868A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</w:tr>
      <w:tr w:rsidR="00D868A4" w:rsidRPr="00967673" w14:paraId="322A4CE1" w14:textId="77777777" w:rsidTr="00EB6ACC">
        <w:trPr>
          <w:trHeight w:val="210"/>
          <w:jc w:val="center"/>
        </w:trPr>
        <w:tc>
          <w:tcPr>
            <w:tcW w:w="822" w:type="dxa"/>
            <w:vAlign w:val="center"/>
          </w:tcPr>
          <w:p w14:paraId="27329EDF" w14:textId="1BD43393" w:rsidR="00D868A4" w:rsidRDefault="00D868A4" w:rsidP="00D50BB1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313" w:type="dxa"/>
            <w:vAlign w:val="center"/>
          </w:tcPr>
          <w:p w14:paraId="5C058802" w14:textId="0F4EA066" w:rsidR="00D868A4" w:rsidRDefault="00D868A4" w:rsidP="00D50BB1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ENSERES</w:t>
            </w:r>
          </w:p>
        </w:tc>
        <w:tc>
          <w:tcPr>
            <w:tcW w:w="1242" w:type="dxa"/>
            <w:vAlign w:val="center"/>
          </w:tcPr>
          <w:p w14:paraId="5B3F9B01" w14:textId="566C1E54" w:rsidR="00D868A4" w:rsidRDefault="00D868A4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49F87C73" w14:textId="77777777" w:rsidR="00FE4B83" w:rsidRPr="00FE4B83" w:rsidRDefault="00FE4B83" w:rsidP="00FE4B83">
      <w:pPr>
        <w:pStyle w:val="Prrafodelista"/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Banco Nacional de Bolivia</w:t>
      </w:r>
    </w:p>
    <w:p w14:paraId="252CEE04" w14:textId="347CC58B" w:rsidR="00FE4B83" w:rsidRPr="00FE1C4B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E1C4B">
        <w:rPr>
          <w:rFonts w:asciiTheme="minorHAnsi" w:hAnsiTheme="minorHAnsi" w:cstheme="minorHAnsi"/>
          <w:b/>
          <w:bCs/>
          <w:sz w:val="22"/>
          <w:szCs w:val="22"/>
        </w:rPr>
        <w:t>N°</w:t>
      </w:r>
      <w:proofErr w:type="spellEnd"/>
      <w:r w:rsidRPr="00FE1C4B">
        <w:rPr>
          <w:rFonts w:asciiTheme="minorHAnsi" w:hAnsiTheme="minorHAnsi" w:cstheme="minorHAnsi"/>
          <w:b/>
          <w:bCs/>
          <w:sz w:val="22"/>
          <w:szCs w:val="22"/>
        </w:rPr>
        <w:t xml:space="preserve"> Cuenta Corriente – </w:t>
      </w:r>
      <w:r w:rsidR="002B3C17" w:rsidRPr="00FE1C4B">
        <w:rPr>
          <w:rFonts w:asciiTheme="minorHAnsi" w:hAnsiTheme="minorHAnsi" w:cstheme="minorHAnsi"/>
          <w:b/>
          <w:bCs/>
          <w:sz w:val="22"/>
          <w:szCs w:val="22"/>
        </w:rPr>
        <w:t>7000022564</w:t>
      </w:r>
    </w:p>
    <w:p w14:paraId="2FC82E3B" w14:textId="4F42415F" w:rsidR="00FE7DE3" w:rsidRDefault="00FE4B83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Banca 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626ABB94" w:rsidR="00FE7DE3" w:rsidRDefault="00FE7DE3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</w:t>
      </w:r>
      <w:r w:rsidR="00CE469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FE7DE3">
        <w:rPr>
          <w:rFonts w:asciiTheme="minorHAnsi" w:hAnsiTheme="minorHAnsi" w:cstheme="minorHAnsi"/>
          <w:b/>
          <w:bCs/>
          <w:sz w:val="22"/>
          <w:szCs w:val="22"/>
        </w:rPr>
        <w:t>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0D11F5B3" w:rsidR="00FE7DE3" w:rsidRDefault="006C2DF6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</w:t>
      </w:r>
      <w:r w:rsidR="00CE4693">
        <w:rPr>
          <w:rFonts w:asciiTheme="minorHAnsi" w:hAnsiTheme="minorHAnsi" w:cstheme="minorHAnsi"/>
          <w:b/>
          <w:bCs/>
          <w:sz w:val="22"/>
          <w:szCs w:val="22"/>
        </w:rPr>
        <w:t>Í</w:t>
      </w:r>
      <w:r>
        <w:rPr>
          <w:rFonts w:asciiTheme="minorHAnsi" w:hAnsiTheme="minorHAnsi" w:cstheme="minorHAnsi"/>
          <w:b/>
          <w:bCs/>
          <w:sz w:val="22"/>
          <w:szCs w:val="22"/>
        </w:rPr>
        <w:t>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6DC4F4F6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presente documento. El plazo de entrega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2B3C17">
        <w:rPr>
          <w:rFonts w:asciiTheme="minorHAnsi" w:hAnsiTheme="minorHAnsi" w:cstheme="minorHAnsi"/>
          <w:bCs/>
          <w:sz w:val="22"/>
          <w:szCs w:val="22"/>
        </w:rPr>
        <w:t xml:space="preserve">13 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2B3C17">
        <w:rPr>
          <w:rFonts w:asciiTheme="minorHAnsi" w:hAnsiTheme="minorHAnsi" w:cstheme="minorHAnsi"/>
          <w:bCs/>
          <w:sz w:val="22"/>
          <w:szCs w:val="22"/>
        </w:rPr>
        <w:t>diciembre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 del presente hasta horas 1</w:t>
      </w:r>
      <w:r w:rsidR="002B3C17">
        <w:rPr>
          <w:rFonts w:asciiTheme="minorHAnsi" w:hAnsiTheme="minorHAnsi" w:cstheme="minorHAnsi"/>
          <w:bCs/>
          <w:sz w:val="22"/>
          <w:szCs w:val="22"/>
        </w:rPr>
        <w:t>2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:00. Los sobres serán entregados </w:t>
      </w:r>
      <w:r w:rsidR="002B3C17">
        <w:rPr>
          <w:rFonts w:asciiTheme="minorHAnsi" w:hAnsiTheme="minorHAnsi" w:cstheme="minorHAnsi"/>
          <w:bCs/>
          <w:sz w:val="22"/>
          <w:szCs w:val="22"/>
        </w:rPr>
        <w:t>en dirección de Policonsultorio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ubicado en la calle </w:t>
      </w:r>
      <w:r w:rsidR="002B3C17">
        <w:rPr>
          <w:rFonts w:asciiTheme="minorHAnsi" w:hAnsiTheme="minorHAnsi" w:cstheme="minorHAnsi"/>
          <w:bCs/>
          <w:sz w:val="22"/>
          <w:szCs w:val="22"/>
        </w:rPr>
        <w:t xml:space="preserve">15 de abril </w:t>
      </w:r>
      <w:proofErr w:type="spellStart"/>
      <w:r w:rsidR="002B3C17">
        <w:rPr>
          <w:rFonts w:asciiTheme="minorHAnsi" w:hAnsiTheme="minorHAnsi" w:cstheme="minorHAnsi"/>
          <w:bCs/>
          <w:sz w:val="22"/>
          <w:szCs w:val="22"/>
        </w:rPr>
        <w:t>N°</w:t>
      </w:r>
      <w:proofErr w:type="spellEnd"/>
      <w:r w:rsidR="002B3C17">
        <w:rPr>
          <w:rFonts w:asciiTheme="minorHAnsi" w:hAnsiTheme="minorHAnsi" w:cstheme="minorHAnsi"/>
          <w:bCs/>
          <w:sz w:val="22"/>
          <w:szCs w:val="22"/>
        </w:rPr>
        <w:t xml:space="preserve"> 432 entre Isaac Attie y Delgadillo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B37BF03" w14:textId="356D4BE1" w:rsidR="006C2DF6" w:rsidRDefault="006C2DF6" w:rsidP="004E02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0F502" w14:textId="3E8950B3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 xml:space="preserve">Los proponentes podrán presentar propuestas para uno, varios o todos los </w:t>
      </w:r>
      <w:r w:rsidR="002B3C17">
        <w:rPr>
          <w:rFonts w:asciiTheme="minorHAnsi" w:hAnsiTheme="minorHAnsi" w:cstheme="minorHAnsi"/>
          <w:bCs/>
          <w:sz w:val="22"/>
          <w:szCs w:val="22"/>
        </w:rPr>
        <w:t>lotes</w:t>
      </w:r>
      <w:r w:rsidRPr="006C2DF6">
        <w:rPr>
          <w:rFonts w:asciiTheme="minorHAnsi" w:hAnsiTheme="minorHAnsi" w:cstheme="minorHAnsi"/>
          <w:bCs/>
          <w:sz w:val="22"/>
          <w:szCs w:val="22"/>
        </w:rPr>
        <w:t xml:space="preserve">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3B27BD60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5E981E6A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dos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813B6F" w:rsidRPr="00813B6F">
        <w:rPr>
          <w:rFonts w:asciiTheme="minorHAnsi" w:hAnsiTheme="minorHAnsi" w:cstheme="minorHAnsi"/>
          <w:b/>
          <w:bCs/>
          <w:sz w:val="22"/>
          <w:szCs w:val="22"/>
        </w:rPr>
        <w:t xml:space="preserve">(5) </w:t>
      </w:r>
      <w:r w:rsidR="001C3D8E" w:rsidRPr="00813B6F">
        <w:rPr>
          <w:rFonts w:asciiTheme="minorHAnsi" w:hAnsiTheme="minorHAnsi" w:cstheme="minorHAnsi"/>
          <w:b/>
          <w:bCs/>
          <w:sz w:val="22"/>
          <w:szCs w:val="22"/>
        </w:rPr>
        <w:t>cinco</w:t>
      </w:r>
      <w:r w:rsidR="00DE2326" w:rsidRPr="00813B6F">
        <w:rPr>
          <w:rFonts w:asciiTheme="minorHAnsi" w:hAnsiTheme="minorHAnsi" w:cstheme="minorHAnsi"/>
          <w:b/>
          <w:bCs/>
          <w:sz w:val="22"/>
          <w:szCs w:val="22"/>
        </w:rPr>
        <w:t xml:space="preserve"> días hábiles </w:t>
      </w:r>
      <w:r w:rsidR="00DE2326">
        <w:rPr>
          <w:rFonts w:asciiTheme="minorHAnsi" w:hAnsiTheme="minorHAnsi" w:cstheme="minorHAnsi"/>
          <w:sz w:val="22"/>
          <w:szCs w:val="22"/>
        </w:rPr>
        <w:t>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59A1C77B" w:rsidR="00DE2326" w:rsidRPr="001C3D8E" w:rsidRDefault="00DE2326" w:rsidP="001C3D8E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3DCB2515" w:rsidR="000B1947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Cuando </w:t>
      </w:r>
      <w:r w:rsidR="000D3648">
        <w:rPr>
          <w:rFonts w:asciiTheme="minorHAnsi" w:hAnsiTheme="minorHAnsi" w:cstheme="minorHAnsi"/>
          <w:sz w:val="22"/>
          <w:szCs w:val="22"/>
        </w:rPr>
        <w:t xml:space="preserve">la primera intención de venta </w:t>
      </w:r>
      <w:r w:rsidRPr="000B1947">
        <w:rPr>
          <w:rFonts w:asciiTheme="minorHAnsi" w:hAnsiTheme="minorHAnsi" w:cstheme="minorHAnsi"/>
          <w:sz w:val="22"/>
          <w:szCs w:val="22"/>
        </w:rPr>
        <w:t>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2399F96A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</w:t>
      </w:r>
      <w:r w:rsidR="000D3648">
        <w:rPr>
          <w:rFonts w:asciiTheme="minorHAnsi" w:hAnsiTheme="minorHAnsi" w:cstheme="minorHAnsi"/>
          <w:sz w:val="22"/>
          <w:szCs w:val="22"/>
        </w:rPr>
        <w:t>el proceso se declarará desierto</w:t>
      </w:r>
      <w:r w:rsidRPr="000B1947">
        <w:rPr>
          <w:rFonts w:asciiTheme="minorHAnsi" w:hAnsiTheme="minorHAnsi" w:cstheme="minorHAnsi"/>
          <w:sz w:val="22"/>
          <w:szCs w:val="22"/>
        </w:rPr>
        <w:t xml:space="preserve">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147A9FA9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El proponente podrá efectuar consultas llamando a</w:t>
      </w:r>
      <w:r w:rsidR="00CE4693">
        <w:rPr>
          <w:rFonts w:asciiTheme="minorHAnsi" w:hAnsiTheme="minorHAnsi" w:cstheme="minorHAnsi"/>
          <w:sz w:val="22"/>
          <w:szCs w:val="22"/>
        </w:rPr>
        <w:t xml:space="preserve"> los</w:t>
      </w:r>
      <w:r w:rsidRPr="00967673">
        <w:rPr>
          <w:rFonts w:asciiTheme="minorHAnsi" w:hAnsiTheme="minorHAnsi" w:cstheme="minorHAnsi"/>
          <w:sz w:val="22"/>
          <w:szCs w:val="22"/>
        </w:rPr>
        <w:t xml:space="preserve"> teléfono</w:t>
      </w:r>
      <w:r w:rsidR="00CE4693">
        <w:rPr>
          <w:rFonts w:asciiTheme="minorHAnsi" w:hAnsiTheme="minorHAnsi" w:cstheme="minorHAnsi"/>
          <w:sz w:val="22"/>
          <w:szCs w:val="22"/>
        </w:rPr>
        <w:t>s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2B3C17">
        <w:rPr>
          <w:rFonts w:asciiTheme="minorHAnsi" w:hAnsiTheme="minorHAnsi" w:cstheme="minorHAnsi"/>
          <w:sz w:val="22"/>
          <w:szCs w:val="22"/>
        </w:rPr>
        <w:t>67639375</w:t>
      </w:r>
      <w:r w:rsidR="00CE4693">
        <w:rPr>
          <w:rFonts w:asciiTheme="minorHAnsi" w:hAnsiTheme="minorHAnsi" w:cstheme="minorHAnsi"/>
          <w:sz w:val="22"/>
          <w:szCs w:val="22"/>
        </w:rPr>
        <w:t>-60275908 (Lic. Esmeralda R</w:t>
      </w:r>
      <w:r w:rsidR="00813B6F">
        <w:rPr>
          <w:rFonts w:asciiTheme="minorHAnsi" w:hAnsiTheme="minorHAnsi" w:cstheme="minorHAnsi"/>
          <w:sz w:val="22"/>
          <w:szCs w:val="22"/>
        </w:rPr>
        <w:t>ios</w:t>
      </w:r>
      <w:r w:rsidR="00CE46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693">
        <w:rPr>
          <w:rFonts w:asciiTheme="minorHAnsi" w:hAnsiTheme="minorHAnsi" w:cstheme="minorHAnsi"/>
          <w:sz w:val="22"/>
          <w:szCs w:val="22"/>
        </w:rPr>
        <w:t>ó</w:t>
      </w:r>
      <w:proofErr w:type="spellEnd"/>
      <w:r w:rsidR="00CE4693">
        <w:rPr>
          <w:rFonts w:asciiTheme="minorHAnsi" w:hAnsiTheme="minorHAnsi" w:cstheme="minorHAnsi"/>
          <w:sz w:val="22"/>
          <w:szCs w:val="22"/>
        </w:rPr>
        <w:t xml:space="preserve"> Viviana Zeballos </w:t>
      </w:r>
      <w:r w:rsidRPr="00967673">
        <w:rPr>
          <w:rFonts w:asciiTheme="minorHAnsi" w:hAnsiTheme="minorHAnsi" w:cstheme="minorHAnsi"/>
          <w:sz w:val="22"/>
          <w:szCs w:val="22"/>
        </w:rPr>
        <w:t xml:space="preserve">o vía correo electrónico a la dirección </w:t>
      </w:r>
      <w:hyperlink r:id="rId12" w:history="1">
        <w:r w:rsidR="00CE4693" w:rsidRPr="00982336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CE4693">
        <w:rPr>
          <w:rStyle w:val="Hipervnculo"/>
          <w:rFonts w:asciiTheme="minorHAnsi" w:hAnsiTheme="minorHAnsi" w:cstheme="minorHAnsi"/>
          <w:sz w:val="22"/>
          <w:szCs w:val="22"/>
        </w:rPr>
        <w:t xml:space="preserve"> – viviana.zeballos@csbp.com.bo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FORMULARIO </w:t>
      </w:r>
      <w:proofErr w:type="spellStart"/>
      <w:r>
        <w:rPr>
          <w:rFonts w:cs="Arial"/>
          <w:b/>
          <w:sz w:val="18"/>
          <w:szCs w:val="18"/>
        </w:rPr>
        <w:t>N°</w:t>
      </w:r>
      <w:proofErr w:type="spellEnd"/>
      <w:r>
        <w:rPr>
          <w:rFonts w:cs="Arial"/>
          <w:b/>
          <w:sz w:val="18"/>
          <w:szCs w:val="18"/>
        </w:rPr>
        <w:t xml:space="preserve">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65775830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247C53F9" w14:textId="77777777" w:rsidR="00A01EFE" w:rsidRDefault="00A01EFE" w:rsidP="00821E8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134"/>
        <w:gridCol w:w="1701"/>
      </w:tblGrid>
      <w:tr w:rsidR="00A01EFE" w:rsidRPr="00A01EFE" w14:paraId="7BF04EDA" w14:textId="77777777" w:rsidTr="00A01EFE">
        <w:trPr>
          <w:trHeight w:val="6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E2A34C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9F59B3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RUBRO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40FF9E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9B3733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DE VENTA EN BS.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A18176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OFERTADO EN BS.</w:t>
            </w:r>
          </w:p>
        </w:tc>
      </w:tr>
      <w:tr w:rsidR="00A01EFE" w:rsidRPr="00A01EFE" w14:paraId="0EE3CF0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9D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069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22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CPU SERVIDOR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CD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36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302F11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07A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7B0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12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MONITOR LCD V185 WS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F6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9EF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DC855F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E3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5F6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F2C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SWITCH D-LINK DES-1024D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754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A6E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8D85806" w14:textId="77777777" w:rsidTr="00A01EFE">
        <w:trPr>
          <w:trHeight w:val="34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61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E5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22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TRENDNET TE100- S24G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9F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F7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8CAAC7D" w14:textId="77777777" w:rsidTr="00A01EFE">
        <w:trPr>
          <w:trHeight w:val="28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F5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87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E7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EPSON M105 WIFI SIST.CONTINUO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42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6F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DFAA245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ED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75B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970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APC 500 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FF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F2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BF5D77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118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C92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B6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CPU PENTIUM IV 1.7 GB.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40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67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F63F8C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F6B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F30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A17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MONITOR LCD V185 WS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1F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17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5A46A3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00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9A9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6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IMPRESORA EPSON LQ-590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51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F9B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501CC2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66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9C9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8D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IMPRESORA EPSON LQ-590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56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CF2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00354D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A5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1E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11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TAPE BACKUP EXTERNO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8C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B1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77006B5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81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78A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6B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APC 650 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36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6A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C78D08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AF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B54A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8F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CPU HP COMPAQ D220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42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4AB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492E22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B0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F78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76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750 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ED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3CD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DA32D63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7D6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82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18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IMPRESORA LASERJET P1006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7C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41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B17451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E21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7B5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32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MONITOR LE 185W LCD 18"5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5EC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F1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4D10A18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48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F0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88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SC-1000@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FF7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12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2C2F682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E4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774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24B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SCANNER HP G3010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AFD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9E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4839B8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6B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16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9F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APC 650 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A72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77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95A6F21" w14:textId="77777777" w:rsidTr="00A01EFE">
        <w:trPr>
          <w:trHeight w:val="33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F0A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DAE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A7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CORE 2 DUO CON LICENCIA OFFICE 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E72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E2B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0AFDF0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FBC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393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B07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 DE 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6D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D1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3F41B9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02A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00C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E5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QUEMADOR EXTERNO DVD LIGHTSCRIBE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73B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4E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FEA127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69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B8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A3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DELL E1912H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1D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53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1BD537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417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0D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E2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APC 500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48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99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1898199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C1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2F8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A54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UPS APC 650 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C3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FE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A275C7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02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F2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57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22"/>
                <w:lang w:eastAsia="es-BO"/>
              </w:rPr>
              <w:t>MONITOR DELL E1912H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05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B57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ED8F188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161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75A8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6D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MOSTRADOR ESCRITORIO DE MADERA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A0B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742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A1EC4F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31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0A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2A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ROBLE CON BRAZ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FAD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6A2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A0A578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21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DA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32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DE MADERA C/7 CAJON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97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F8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F4092C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F8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30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D94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311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MAQUINA DE CALCULAR HUINCHADOR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428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D7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F230879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B99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21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E8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GAVETERO METALICO C/ GAVETAS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C39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86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51396D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51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DD0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08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APARATO TELEFONICO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413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2F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2ABA30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A8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AE4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B43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CON TAPIZ COLO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3F9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070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BA1AAF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88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A5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8F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DE MADERA C/4 CAJON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36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BA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139B98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A8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E9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B0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C/TAPIZ COLOR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83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2D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A2ADD4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E2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9C4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00C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C/TAPIZ COLOR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40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68A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F84698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F9D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7F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4E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ELECTRICA HUINCHADORA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729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6B9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DB0257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1D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00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23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SILLON SEMIEJECUTIVO CON RUEDAS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57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38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447910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DCA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EB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3C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VOIP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A5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F3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32B1C7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8A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8A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84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 DE PIE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8F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64D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61A455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E57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B2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F26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PERCHERO DE MADERA (MAL ESTADO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A4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AD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94DA018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2B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7A0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D5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C/TAPIZ COLOR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81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990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045808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0E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753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7E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(1.50*0.80*0.75)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B28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6E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23E4E9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6C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E5F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48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SOPORTE METALICO PARA TECLADO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8F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DB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6AE024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D1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209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43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SUBE Y BAJA PARA NIÑOS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0A0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18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961521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11C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4D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F24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PAÑALERA DE 1 X 0.40 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B5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EB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352315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72F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DBA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8C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BUTACA DE 3 ASIENTOS C/U PARA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95A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E3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E31432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628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3A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767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BUTACA DE 3 ASIENTOS C/U PARA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6FC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5D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B48F3F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128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732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616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MARA COLOR GUI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760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97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B5BCCC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1A1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7EE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94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TABLERO METALICA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8AC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5F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47FA2F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C0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0B6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BC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BUTACA METALICA DE 3 ASIENTOS COLOR BORDO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68B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6FD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26C53F9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E8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F65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C4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BUTACA METALICA DE 3 ASIENTOS COLOR BORDO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BA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F17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47BE6F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471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B3D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C6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ELECTRICA HUINCHADORA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69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B77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E87DF5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3D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5D7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FF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TRANSFER AUTOMATICO PARA GRUPO GENERADOR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17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9C8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108DE8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115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135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A45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PANTALLA ECRAN DE 2.45 X 2.45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648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C9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DBC5DB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28E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03E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54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SILLON SEMI-EJECUTIVO DE CUERO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80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9E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F3C9DE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2E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86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93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ESCALERA METALICA 5 PELDAÐOS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8A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D3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536DFD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05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47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8A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COLUMPIO PARA NIÑOS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01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4F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7957C0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C9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8AA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9EF" w14:textId="680B80E6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CASIO DR- 120LB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F8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F31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1F5186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7EC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38E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5CE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APARATO TELEFONICO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38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03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42AC283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54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75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53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SILLON SEMIEJECUTIVO CON RUEDAS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87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C0D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B2A5CF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D3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D86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B8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INSTRUMENTAL MEDICO MENOR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56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F30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81388D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E3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5C9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41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DE VIDECONFERENCIA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CE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1A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1B00E7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F09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17A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44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GABINETE RACK CERRADO DE 19" 6 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9A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38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B2F7DDC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2D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3A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86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ARCHIVERO CON 8 </w:t>
            </w:r>
            <w:proofErr w:type="gramStart"/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GAVETAS ,</w:t>
            </w:r>
            <w:proofErr w:type="gramEnd"/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3 PUERTAS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EE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0C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CD90B1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30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10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CE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SILLAS DE MADERA CON TAPIZ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DF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B5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9AC6BA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36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67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B3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01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FOTOCOPIADORA IR-2022N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E3F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88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E4FEB12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4D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59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5E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FOTOCOPIADORA DE KONICA BIZHUB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2F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977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B385C3F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F8A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30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FA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ELECTRICA HUINCHADORA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06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83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544C1E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02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DA9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0B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SILLON SEMIEJECUTIVO EN CUERO CON ESTREL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4B3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DB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160D112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17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066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4E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DOPLER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C4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9AC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0F4318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03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41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4FF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 DE MADERA MARA COLOR GUI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D1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34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39694E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F1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E9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C3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ACONDICIONADO (FRIO)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9F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C4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7BF43E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1C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A5B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C3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BICICLETA MONTAÑERA 12 VELOCIDADES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C4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95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2B99BE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2B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4381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A9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SILLAS DE MADERA CON TAPIZ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C6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ED6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0D4EFC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C3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829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2D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LAVADORA DE ROPA 7,5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757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762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03ADDB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091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8B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EC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DE SEGURIDAD TIPO B 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7E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15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5B6A562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93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878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49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DE EXTERIORES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DA7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D2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B87655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6E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47B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2736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PANTOSCOPIO COMPLETO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2C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28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8B83DA7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C3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78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49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GLUCOMETRO C/EXTRACTOR DE GOTA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420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04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61E4D24D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76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E4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086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FONENDOSCOPIO PARA ADULTOS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DBE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5F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04D7AD2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AD0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FA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751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TENSIOMETRO PEDIATRICO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A86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85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18D6D2F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A05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E05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F9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FONENDOSCOPIO NEONATAL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0D8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22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F020BC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FB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39B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B5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TENSIOMETRO PEDIATRICO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9EF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01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A282F85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B4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015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6A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TURBINA DE ALTA VELOCIDAD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DB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2C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497522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BB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C71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D58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FONENDOSCOPIO NEONATAL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F5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20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B4499A1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1FB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FD3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F9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PARA YESO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28F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97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72FEAA4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D4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774" w14:textId="77777777" w:rsidR="00A01EFE" w:rsidRPr="00A01EFE" w:rsidRDefault="00A01EFE" w:rsidP="00A01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E3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TENSIOMETRO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B92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587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C17E7EE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42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9B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A9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TENSIOMETRO AUTOMATICO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90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B0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490878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4E2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209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A9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LAMPARA DE EXAMEN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E3CB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129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36DDB5D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8AA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705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61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FONENDOSCOPIO CARDIOLOGICO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0C1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A5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4CE8EF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4C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23E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C61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TENSIOMETRO DE MERCURIO (DE PIE)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4E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85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5521C9B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E7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A59E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13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TURBINA DE ALTA VELOCIDAD PEDIATRICA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9FD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C0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B402DD8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ED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045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7B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DE EXAMEN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5EA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9CA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7D65DA6A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B426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93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E10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FONENDOSCOPIO NEONATAL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894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B8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419E9B2B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143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21D1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06AD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BALANZA PEDIATRICA CON TALLIME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3B8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E84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24748046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A9D1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B80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D2F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DE EXAMEN GINECOLOGICA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959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392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A01EFE" w:rsidRPr="00A01EFE" w14:paraId="0B94B300" w14:textId="77777777" w:rsidTr="00A01EFE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4CE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FF3B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D58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GLUCOMETRO PRODIGY AUTOCODE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3AAC" w14:textId="77777777" w:rsidR="00A01EFE" w:rsidRPr="00A01EFE" w:rsidRDefault="00A01EFE" w:rsidP="00A01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D34C" w14:textId="77777777" w:rsidR="00A01EFE" w:rsidRPr="00A01EFE" w:rsidRDefault="00A01EFE" w:rsidP="00A01EFE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A01EF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</w:tbl>
    <w:p w14:paraId="48E4F421" w14:textId="77777777" w:rsidR="00A01EFE" w:rsidRDefault="00A01EFE" w:rsidP="00821E81">
      <w:pPr>
        <w:rPr>
          <w:rFonts w:asciiTheme="minorHAnsi" w:hAnsiTheme="minorHAnsi" w:cstheme="minorHAnsi"/>
          <w:b/>
          <w:sz w:val="22"/>
          <w:szCs w:val="22"/>
        </w:rPr>
      </w:pPr>
    </w:p>
    <w:p w14:paraId="0FF72287" w14:textId="77777777" w:rsidR="00A01EFE" w:rsidRDefault="00A01EFE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4FAAD6" w14:textId="77777777" w:rsidR="00A01EFE" w:rsidRDefault="00A01EFE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417E6F">
      <w:headerReference w:type="default" r:id="rId13"/>
      <w:footerReference w:type="default" r:id="rId14"/>
      <w:footerReference w:type="first" r:id="rId15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698E" w14:textId="77777777" w:rsidR="00056218" w:rsidRDefault="00056218" w:rsidP="001514BD">
      <w:r>
        <w:separator/>
      </w:r>
    </w:p>
  </w:endnote>
  <w:endnote w:type="continuationSeparator" w:id="0">
    <w:p w14:paraId="373014FF" w14:textId="77777777" w:rsidR="00056218" w:rsidRDefault="00056218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4C4D" w14:textId="77777777" w:rsidR="00056218" w:rsidRDefault="00056218" w:rsidP="001514BD">
      <w:r>
        <w:separator/>
      </w:r>
    </w:p>
  </w:footnote>
  <w:footnote w:type="continuationSeparator" w:id="0">
    <w:p w14:paraId="32E7D3F7" w14:textId="77777777" w:rsidR="00056218" w:rsidRDefault="00056218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A456FC9" w:rsidR="00376420" w:rsidRDefault="00430FB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TERMINOS DE REFERENCIA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578173595">
    <w:abstractNumId w:val="1"/>
  </w:num>
  <w:num w:numId="2" w16cid:durableId="10239001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218"/>
    <w:rsid w:val="00056B36"/>
    <w:rsid w:val="000574A0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3648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5930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20E2"/>
    <w:rsid w:val="00225C70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29AB"/>
    <w:rsid w:val="00273569"/>
    <w:rsid w:val="00275F39"/>
    <w:rsid w:val="002820EE"/>
    <w:rsid w:val="0028318D"/>
    <w:rsid w:val="00287E6D"/>
    <w:rsid w:val="002965AE"/>
    <w:rsid w:val="002B3C17"/>
    <w:rsid w:val="002C37DF"/>
    <w:rsid w:val="002C5BF6"/>
    <w:rsid w:val="002C6609"/>
    <w:rsid w:val="002D0245"/>
    <w:rsid w:val="002D1067"/>
    <w:rsid w:val="002D2D56"/>
    <w:rsid w:val="002D4388"/>
    <w:rsid w:val="002E5957"/>
    <w:rsid w:val="002E66C7"/>
    <w:rsid w:val="002E7342"/>
    <w:rsid w:val="002F0DD7"/>
    <w:rsid w:val="002F57F5"/>
    <w:rsid w:val="002F5A14"/>
    <w:rsid w:val="002F5AD0"/>
    <w:rsid w:val="002F6AFC"/>
    <w:rsid w:val="00300560"/>
    <w:rsid w:val="00301B53"/>
    <w:rsid w:val="00310338"/>
    <w:rsid w:val="00314938"/>
    <w:rsid w:val="00334BBC"/>
    <w:rsid w:val="00335A4C"/>
    <w:rsid w:val="003364E7"/>
    <w:rsid w:val="00337DFD"/>
    <w:rsid w:val="00340219"/>
    <w:rsid w:val="003527CA"/>
    <w:rsid w:val="003635A9"/>
    <w:rsid w:val="0036423C"/>
    <w:rsid w:val="00364A8C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70DE2"/>
    <w:rsid w:val="00470FEB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730AD"/>
    <w:rsid w:val="00581B25"/>
    <w:rsid w:val="00585AC2"/>
    <w:rsid w:val="0059144D"/>
    <w:rsid w:val="00596BD7"/>
    <w:rsid w:val="005A1336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1196"/>
    <w:rsid w:val="00681C3D"/>
    <w:rsid w:val="006825C8"/>
    <w:rsid w:val="006839A6"/>
    <w:rsid w:val="00684292"/>
    <w:rsid w:val="00685450"/>
    <w:rsid w:val="00690CC4"/>
    <w:rsid w:val="00691D81"/>
    <w:rsid w:val="006A6A7C"/>
    <w:rsid w:val="006B000E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70553D"/>
    <w:rsid w:val="00705F4C"/>
    <w:rsid w:val="0071100C"/>
    <w:rsid w:val="00714A58"/>
    <w:rsid w:val="00715F12"/>
    <w:rsid w:val="00721B4D"/>
    <w:rsid w:val="00724C5E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EF9"/>
    <w:rsid w:val="007939AB"/>
    <w:rsid w:val="00796960"/>
    <w:rsid w:val="00796CCF"/>
    <w:rsid w:val="007A69F6"/>
    <w:rsid w:val="007B2559"/>
    <w:rsid w:val="007B4F6B"/>
    <w:rsid w:val="007B6952"/>
    <w:rsid w:val="007B745B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13B6F"/>
    <w:rsid w:val="00821E81"/>
    <w:rsid w:val="0083459A"/>
    <w:rsid w:val="00834974"/>
    <w:rsid w:val="008359CF"/>
    <w:rsid w:val="00842335"/>
    <w:rsid w:val="008456AC"/>
    <w:rsid w:val="008550F6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04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1EFE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3F5C"/>
    <w:rsid w:val="00C3411C"/>
    <w:rsid w:val="00C4443A"/>
    <w:rsid w:val="00C465C8"/>
    <w:rsid w:val="00C5280B"/>
    <w:rsid w:val="00C5670A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4693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68A4"/>
    <w:rsid w:val="00D87965"/>
    <w:rsid w:val="00D915AC"/>
    <w:rsid w:val="00D93C1D"/>
    <w:rsid w:val="00DA0CFB"/>
    <w:rsid w:val="00DA15F7"/>
    <w:rsid w:val="00DB004C"/>
    <w:rsid w:val="00DB1E5A"/>
    <w:rsid w:val="00DB1F0F"/>
    <w:rsid w:val="00DB22AD"/>
    <w:rsid w:val="00DC2CE5"/>
    <w:rsid w:val="00DC4292"/>
    <w:rsid w:val="00DC42F8"/>
    <w:rsid w:val="00DC52B5"/>
    <w:rsid w:val="00DC763F"/>
    <w:rsid w:val="00DD2F70"/>
    <w:rsid w:val="00DE0E0A"/>
    <w:rsid w:val="00DE2326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47574"/>
    <w:rsid w:val="00E47A58"/>
    <w:rsid w:val="00E506E0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1C4B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meralda.rios@csbp.com.b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ana.zeballo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smeralda.rios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1970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ESMERALDA RIOS LEYTON</cp:lastModifiedBy>
  <cp:revision>5</cp:revision>
  <cp:lastPrinted>2023-10-04T17:59:00Z</cp:lastPrinted>
  <dcterms:created xsi:type="dcterms:W3CDTF">2023-12-07T16:04:00Z</dcterms:created>
  <dcterms:modified xsi:type="dcterms:W3CDTF">2023-12-07T16:11:00Z</dcterms:modified>
</cp:coreProperties>
</file>